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011d8k.htm"/>
      <w:bookmarkStart w:id="1" w:name="ksd880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bookmarkStart w:id="2" w:name="Fact_2"/>
      <w:bookmarkEnd w:id="2"/>
      <w:r>
        <w:rPr>
          <w:rFonts w:ascii="Times New Roman" w:hAnsi="Times New Roman"/>
          <w:b/>
          <w:sz w:val="48"/>
        </w:rPr>
        <w:t>ITG,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001-43381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30-1479306</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2400 E Commercial Blvd Ste 1000</w:t>
      </w:r>
    </w:p>
    <w:p>
      <w:pPr>
        <w:pStyle w:val="TextBody"/>
        <w:bidi w:val="0"/>
        <w:spacing w:before="0" w:after="0"/>
        <w:jc w:val="center"/>
        <w:rPr>
          <w:rFonts w:ascii="Times New Roman" w:hAnsi="Times New Roman"/>
          <w:b/>
          <w:sz w:val="20"/>
        </w:rPr>
      </w:pPr>
      <w:r>
        <w:rPr>
          <w:rFonts w:ascii="Times New Roman" w:hAnsi="Times New Roman"/>
          <w:b/>
          <w:sz w:val="20"/>
        </w:rPr>
        <w:t>Fort Lauderdale, FL 33308</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(615) 447-5347</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760" w:type="dxa"/>
        <w:jc w:val="left"/>
        <w:tblInd w:w="0" w:type="dxa"/>
        <w:tblLayout w:type="fixed"/>
        <w:tblCellMar>
          <w:top w:w="0" w:type="dxa"/>
          <w:left w:w="0" w:type="dxa"/>
          <w:bottom w:w="0" w:type="dxa"/>
          <w:right w:w="0" w:type="dxa"/>
        </w:tblCellMar>
      </w:tblPr>
      <w:tblGrid>
        <w:gridCol w:w="4850"/>
        <w:gridCol w:w="60"/>
        <w:gridCol w:w="740"/>
        <w:gridCol w:w="60"/>
        <w:gridCol w:w="3050"/>
      </w:tblGrid>
      <w:tr>
        <w:trPr/>
        <w:tc>
          <w:tcPr>
            <w:tcW w:w="4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8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50" w:type="dxa"/>
            <w:tcBorders/>
            <w:vAlign w:val="center"/>
          </w:tcPr>
          <w:p>
            <w:pPr>
              <w:pStyle w:val="TableContents"/>
              <w:bidi w:val="0"/>
              <w:spacing w:before="0" w:after="283"/>
              <w:jc w:val="center"/>
              <w:rPr/>
            </w:pPr>
            <w:r>
              <w:rPr/>
              <w:t>Class A 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ITG</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120" w:after="0"/>
        <w:jc w:val="left"/>
        <w:rPr>
          <w:rFonts w:ascii="Times New Roman" w:hAnsi="Times New Roman"/>
          <w:sz w:val="20"/>
        </w:rPr>
      </w:pPr>
      <w:r>
        <w:rPr>
          <w:rFonts w:ascii="Times New Roman" w:hAnsi="Times New Roman"/>
          <w:sz w:val="20"/>
        </w:rPr>
        <w:t>In connection with the initial public offering (the “Offering”) by ITG, Inc. (the “Company”) of its shares of Class A common stock, par value $0.001 per share (“Class A Common Stock”), described in the prospectus (the “Prospectus”), dated June 30, 2026, filed with the Securities and Exchange Commission on July 1, 2026, pursuant to Rule 424(b) of the Securities Act of 1933, as amended (the “Securities Act”), which is deemed to form a part of the Registration Statement on Form S-1 (File No. 333-296557) (as amended, the “Registration Statement”), the following agreements were entered into:</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Underwriting Agreement, dated June 30, 2026 (the “Underwriting Agreement”), by and among the Company, ITG Parent, LLC, a Delaware limited liability company (“ITG Parent”), and Morgan Stanley &amp; Co. LLC, Citigroup Global Markets Inc., UBS Securities LLC and Stifel, Nicolaus &amp; Company, Incorporated as representatives of the several underwriters named in Schedule I thereto (collectively, the “Underwriters”), which contains customary representations and warranties of the parties and indemnification of the Underwriters by the Company;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Second Amended and Restated Limited Liability Company Agreement of ITG Parent, dated as of July 1, 2026, by and among the Company and the other signatories party thereto (the “ITG Parent LLC Agreement”);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Tax Receivable Agreement, dated as of July 1, 2026, by and among the Company, ITG Parent and the TRA Holders (as defined therein) (the “Tax Receivable Agreement”).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Stockholders Agreement, dated July 2, 2026, by and among ITG, Inc., OCM Power VI AIV Holdings (Delaware), L.P. (“Oaktree Blocked Fund”), OCM ITG Aggregator, LLC (“Oaktree Aggregator”), and ITG Management Holdings, LLC (the “Stockholders Agreement”);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Registration Rights Agreement, dated as of July 2, 2026, by and among the Company, Oaktree Blocked Fund, Oaktree Aggregator, ITG Management Holdings, LLC and each of the other signatories from time to time party thereto (the “Registration Rights Agreement”); and</w:t>
            </w:r>
          </w:p>
        </w:tc>
      </w:tr>
    </w:tbl>
    <w:p>
      <w:pPr>
        <w:pStyle w:val="TextBody"/>
        <w:bidi w:val="0"/>
        <w:spacing w:before="240" w:after="0"/>
        <w:jc w:val="left"/>
        <w:rPr>
          <w:rFonts w:ascii="Times New Roman" w:hAnsi="Times New Roman"/>
          <w:sz w:val="20"/>
        </w:rPr>
      </w:pPr>
      <w:r>
        <w:rPr>
          <w:rFonts w:ascii="Times New Roman" w:hAnsi="Times New Roman"/>
          <w:sz w:val="20"/>
        </w:rPr>
        <w:t>The terms of these agreements are substantially the same as the terms set forth in the forms of such agreements previously filed as exhibits to the Registration Statement and as described therein under “Underwriting (Conflicts of Interest)” and “Certain Relationships and Related Party Transactions,” and which descriptions are also incorporated by reference into this Item 1.01.</w:t>
      </w:r>
    </w:p>
    <w:p>
      <w:pPr>
        <w:pStyle w:val="TextBody"/>
        <w:bidi w:val="0"/>
        <w:spacing w:before="240" w:after="0"/>
        <w:jc w:val="left"/>
        <w:rPr>
          <w:rFonts w:ascii="Times New Roman" w:hAnsi="Times New Roman"/>
          <w:sz w:val="20"/>
        </w:rPr>
      </w:pPr>
      <w:r>
        <w:rPr>
          <w:rFonts w:ascii="Times New Roman" w:hAnsi="Times New Roman"/>
          <w:sz w:val="20"/>
        </w:rPr>
        <w:t>The descriptions of the Underwriting Agreement, the Stockholders Agreement, the Registration Rights Agreement, the ITG Parent LLC Agreement and the Tax Receivable Agreement do not purport to be complete and are qualified in their entirety by reference to the full text of the Underwriting Agreement, the Stockholders Agreement, the Registration Rights Agreement, the ITG Parent LLC Agreement and the Tax Receivable Agreement, which are filed herewith as Exhibits 1.1, 4.1, 4.2, 10.1 and 10.2, respectively, and are incorporated by reference into this Item 1.01.</w:t>
      </w:r>
    </w:p>
    <w:p>
      <w:pPr>
        <w:pStyle w:val="TextBody"/>
        <w:bidi w:val="0"/>
        <w:spacing w:before="240" w:after="0"/>
        <w:jc w:val="left"/>
        <w:rPr>
          <w:rFonts w:ascii="Times New Roman" w:hAnsi="Times New Roman"/>
          <w:sz w:val="20"/>
        </w:rPr>
      </w:pPr>
      <w:r>
        <w:rPr>
          <w:rFonts w:ascii="Times New Roman" w:hAnsi="Times New Roman"/>
          <w:sz w:val="20"/>
        </w:rPr>
        <w:t>Certain parties to certain of these agreements have various relationships with the Company. For further information, see “Certain Relationships and Related Party Transactions” in the Prospectus.</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965"/>
        <w:gridCol w:w="3350"/>
      </w:tblGrid>
      <w:tr>
        <w:trPr/>
        <w:tc>
          <w:tcPr>
            <w:tcW w:w="965" w:type="dxa"/>
            <w:tcBorders/>
            <w:vAlign w:val="center"/>
          </w:tcPr>
          <w:p>
            <w:pPr>
              <w:pStyle w:val="TableContents"/>
              <w:bidi w:val="0"/>
              <w:spacing w:before="0" w:after="283"/>
              <w:jc w:val="left"/>
              <w:rPr>
                <w:b/>
              </w:rPr>
            </w:pPr>
            <w:r>
              <w:rPr>
                <w:b/>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Unregistered Sales of Equity Securities.</w:t>
            </w:r>
          </w:p>
        </w:tc>
      </w:tr>
    </w:tbl>
    <w:p>
      <w:pPr>
        <w:pStyle w:val="TextBody"/>
        <w:bidi w:val="0"/>
        <w:spacing w:before="120" w:after="0"/>
        <w:jc w:val="left"/>
        <w:rPr>
          <w:rFonts w:ascii="Times New Roman" w:hAnsi="Times New Roman"/>
          <w:sz w:val="20"/>
        </w:rPr>
      </w:pPr>
      <w:r>
        <w:rPr>
          <w:rFonts w:ascii="Times New Roman" w:hAnsi="Times New Roman"/>
          <w:sz w:val="20"/>
        </w:rPr>
        <w:t>On July 1, 2026, as contemplated by the transactions described in the Prospectus under “Organizational Structure,” the Company issued 26,005,508 shares of Class A Common Stock to Oaktree Blocked Fund, 31,880,101 shares of its Class B common stock, par value $0.001 per share (the “Class B Common Stock”), to Oaktree Aggregator (together with an equivalent number of common units representing limited liability company interests in ITG Parent (the “LLC Interests”)) and 43,832,585 shares of Class B Common Stock to ITG Management Holdings, LLC (collectively with Oaktree Blocked Fund and Oaktree Aggregator, the “Continuing Equity Owners”). Such issuances were undertaken in reliance on an exemption from the registration requirements of the Securities Act pursuant to</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4(a)(2) thereof as transactions by an issuer not involving any public offering. The Continuing Equity Owners may from time to time, require ITG Parent to redeem all or a portion of the LLC Interests in exchange for, at the Company’s election (determined solely by a majority of the Company’s disinterested directors), newly issued shares of Class A Common Stock on a one-for-one basis or a cash payment equal to a volume-weighted average market price of one share of our Class A common stock for each LLC Interest so redeemed, in each case, in accordance with the terms of the ITG Parent LLC Agreement; provided that, at the Company’s election (determined solely by a majority of the Company’s disinterested directors), the ITG Parent may effect a direct exchange by the Company of such Class A common stock or such cash, as applicable, for such LLC Interests.</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965"/>
        <w:gridCol w:w="4445"/>
      </w:tblGrid>
      <w:tr>
        <w:trPr/>
        <w:tc>
          <w:tcPr>
            <w:tcW w:w="965" w:type="dxa"/>
            <w:tcBorders/>
            <w:vAlign w:val="center"/>
          </w:tcPr>
          <w:p>
            <w:pPr>
              <w:pStyle w:val="TableContents"/>
              <w:bidi w:val="0"/>
              <w:spacing w:before="0" w:after="283"/>
              <w:jc w:val="left"/>
              <w:rPr>
                <w:b/>
              </w:rPr>
            </w:pPr>
            <w:r>
              <w:rPr>
                <w:b/>
              </w:rPr>
              <w:t>Item 3.03</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Material Modification to Rights of Security Holders.</w:t>
            </w:r>
          </w:p>
        </w:tc>
      </w:tr>
    </w:tbl>
    <w:p>
      <w:pPr>
        <w:pStyle w:val="TextBody"/>
        <w:bidi w:val="0"/>
        <w:spacing w:before="120" w:after="0"/>
        <w:jc w:val="left"/>
        <w:rPr>
          <w:rFonts w:ascii="Times New Roman" w:hAnsi="Times New Roman"/>
          <w:sz w:val="20"/>
        </w:rPr>
      </w:pPr>
      <w:r>
        <w:rPr>
          <w:rFonts w:ascii="Times New Roman" w:hAnsi="Times New Roman"/>
          <w:sz w:val="20"/>
        </w:rPr>
        <w:t>The information provided in Item 1.01 regarding the Registration Rights Agreement and in Item 5.03 hereto is incorporated by reference into this Item 3.03.</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Appointment of Directors; Committee Composition; Director Compensation </w:t>
      </w:r>
    </w:p>
    <w:p>
      <w:pPr>
        <w:pStyle w:val="TextBody"/>
        <w:bidi w:val="0"/>
        <w:spacing w:before="120" w:after="0"/>
        <w:jc w:val="left"/>
        <w:rPr>
          <w:rFonts w:ascii="Times New Roman" w:hAnsi="Times New Roman"/>
          <w:sz w:val="20"/>
        </w:rPr>
      </w:pPr>
      <w:r>
        <w:rPr>
          <w:rFonts w:ascii="Times New Roman" w:hAnsi="Times New Roman"/>
          <w:sz w:val="20"/>
        </w:rPr>
        <w:t>On July 1, 2026, effective upon the listing of our Class A Common Stock, Francis A. Braun III and Dylan G. Petre were appointed to the board of directors of the Company (the “Board”). Mr. Petre will serve as a director until the Company’s first annual meeting of stockholders following the completion of the Offering and Mr. Braun will serve as a director until the Company’s second annual meeting of stockholders following the completion of the Offering.</w:t>
      </w:r>
    </w:p>
    <w:p>
      <w:pPr>
        <w:pStyle w:val="TextBody"/>
        <w:bidi w:val="0"/>
        <w:spacing w:before="240" w:after="0"/>
        <w:jc w:val="left"/>
        <w:rPr>
          <w:rFonts w:ascii="Times New Roman" w:hAnsi="Times New Roman"/>
          <w:sz w:val="20"/>
        </w:rPr>
      </w:pPr>
      <w:r>
        <w:rPr>
          <w:rFonts w:ascii="Times New Roman" w:hAnsi="Times New Roman"/>
          <w:sz w:val="20"/>
        </w:rPr>
        <w:t>Mr. Braun and Mr. Petre will both serve as independent directors on the Board. Mr. Petre will serve on the Nominating and Corporate Governance Committee of the Board, while Mr. Braun will serve as the chair of the Audit Committee of the Board.</w:t>
      </w:r>
    </w:p>
    <w:p>
      <w:pPr>
        <w:pStyle w:val="TextBody"/>
        <w:bidi w:val="0"/>
        <w:spacing w:before="240" w:after="0"/>
        <w:jc w:val="left"/>
        <w:rPr>
          <w:rFonts w:ascii="Times New Roman" w:hAnsi="Times New Roman"/>
          <w:sz w:val="20"/>
        </w:rPr>
      </w:pPr>
      <w:r>
        <w:rPr>
          <w:rFonts w:ascii="Times New Roman" w:hAnsi="Times New Roman"/>
          <w:sz w:val="20"/>
        </w:rPr>
        <w:t>Biographical information for Mr. Braun and Mr. Petre is set forth in the Prospectus under the caption “Management” and is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The Board determined that Mr. Braun and Mr. Petre both meet the independence requirements under the rules of the Nasdaq Stock Market LLC. Except as set forth under the heading “Certain Relationships and Related Person Transactions” in the Prospectus, each of the current directors on our Board has no direct or indirect material interest in any transaction required to be disclosed pursuant to Item 404(a) of Regulation S-K.</w:t>
      </w:r>
    </w:p>
    <w:p>
      <w:pPr>
        <w:pStyle w:val="TextBody"/>
        <w:bidi w:val="0"/>
        <w:spacing w:before="240" w:after="0"/>
        <w:jc w:val="left"/>
        <w:rPr>
          <w:rFonts w:ascii="Times New Roman" w:hAnsi="Times New Roman"/>
          <w:sz w:val="20"/>
        </w:rPr>
      </w:pPr>
      <w:r>
        <w:rPr>
          <w:rFonts w:ascii="Times New Roman" w:hAnsi="Times New Roman"/>
          <w:sz w:val="20"/>
        </w:rPr>
        <w:t>In connection with the consummation of the Offering, the Company granted equity awards under the ITG, Inc. Omnibus Incentive Plan (the “Omnibus Plan”) to Mr. Braun as well as Mr. William G. LaPerch, one of the Company’s existing directors, in each case, with a grant date fair value of approximately $120,000. Such awards were in the form of restricted stock units (“RSUs”) that vest in their entirety on the date of the Company’s first annual meeting of stockholders following the completion of the Offering.</w:t>
      </w:r>
    </w:p>
    <w:p>
      <w:pPr>
        <w:pStyle w:val="TextBody"/>
        <w:bidi w:val="0"/>
        <w:spacing w:before="360" w:after="0"/>
        <w:jc w:val="left"/>
        <w:rPr>
          <w:rFonts w:ascii="Times New Roman" w:hAnsi="Times New Roman"/>
          <w:b/>
          <w:i/>
          <w:sz w:val="20"/>
        </w:rPr>
      </w:pPr>
      <w:r>
        <w:rPr>
          <w:rFonts w:ascii="Times New Roman" w:hAnsi="Times New Roman"/>
          <w:b/>
          <w:i/>
          <w:sz w:val="20"/>
        </w:rPr>
        <w:t xml:space="preserve">ITG, Inc. Omnibus Incentive Plan </w:t>
      </w:r>
    </w:p>
    <w:p>
      <w:pPr>
        <w:pStyle w:val="TextBody"/>
        <w:bidi w:val="0"/>
        <w:spacing w:before="120" w:after="0"/>
        <w:jc w:val="left"/>
        <w:rPr>
          <w:rFonts w:ascii="Times New Roman" w:hAnsi="Times New Roman"/>
          <w:sz w:val="20"/>
        </w:rPr>
      </w:pPr>
      <w:r>
        <w:rPr>
          <w:rFonts w:ascii="Times New Roman" w:hAnsi="Times New Roman"/>
          <w:sz w:val="20"/>
        </w:rPr>
        <w:t>Effective June 30, 2026, following the approval of the stockholders of the Company, the Board adopted the Omnibus Plan substantially in the form previously filed as Exhibit 10.8 to the Registration Statement. For further information regarding the Omnibus Plan, see “Executive Compensation-Actions Taken in Connection with this Offering-Omnibus Incentive Plan” in the Prospectus.</w:t>
      </w:r>
    </w:p>
    <w:p>
      <w:pPr>
        <w:pStyle w:val="TextBody"/>
        <w:bidi w:val="0"/>
        <w:spacing w:before="240" w:after="0"/>
        <w:jc w:val="left"/>
        <w:rPr>
          <w:rFonts w:ascii="Times New Roman" w:hAnsi="Times New Roman"/>
          <w:sz w:val="20"/>
        </w:rPr>
      </w:pPr>
      <w:r>
        <w:rPr>
          <w:rFonts w:ascii="Times New Roman" w:hAnsi="Times New Roman"/>
          <w:sz w:val="20"/>
        </w:rPr>
        <w:t>Copies of the Omnibus Plan, Form of Restricted Stock Unit Grant Notice and Award Agreement governing the terms of RSUs issued pursuant to the Omnibus Plan, Form of Performance Restricted Stock Unit Grant Notice and Award Agreement governing the PSUs issued pursuant to the Omnibus Plan and Form of Non-Employee Director Restricted Stock Unit Grant Notice and Award Agreement governing the terms of RSUs issued to non-employee directors of the Company pursuant to the Omnibus Plan are filed herewith as Exhibits 10.3, 10.4, 10.5 and 10.6, respectively, and are incorporated herein by reference. The foregoing description of the Omnibus Plan is not complete and is qualified in its entirety by reference to such exhibits.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Executive Officer Equity Awards Grants </w:t>
      </w:r>
    </w:p>
    <w:p>
      <w:pPr>
        <w:pStyle w:val="TextBody"/>
        <w:bidi w:val="0"/>
        <w:spacing w:before="120" w:after="0"/>
        <w:jc w:val="left"/>
        <w:rPr>
          <w:rFonts w:ascii="Times New Roman" w:hAnsi="Times New Roman"/>
          <w:sz w:val="20"/>
        </w:rPr>
      </w:pPr>
      <w:r>
        <w:rPr>
          <w:rFonts w:ascii="Times New Roman" w:hAnsi="Times New Roman"/>
          <w:sz w:val="20"/>
        </w:rPr>
        <w:t>In connection with the consummation of the Offering, the Company granted equity awards to certain employees under the Omnibus Plan, including to Mr. Andrew D. Parrott and Mr. Christopher H. Mecray with a grant date fair value of approximately $2,500,000 and $800,000, respectively (the “IPO Awards”). 40% of the IPO Awards were in the form of RSUs that vest 25% at grant date and 25% in equal installments for three years thereafter, and that 60% of the IPO Awards were in performance RSUs that vest based on company financial performance metrics measured from the date of the Offering through December 31, 2028.</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In connection with the closing of the Offering, the Company entered into indemnification agreements with each of its executive officers and directors. These indemnification agreements and the Company’s governing documents require the Company to indemnify these individuals to the fullest extent permitted under Delaware law against liability that may arise by reason of their service to the Company, and to advance certain expenses incurred as a result of any proceeding against them as to which they could be indemnified.</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indemnification agreements is not complete and is qualified in its entirety by reference to the full text of the form of indemnification agreement, which is included herewith as Exhibit 10.7, which is incorporated by reference into this Item 5.02.</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965"/>
        <w:gridCol w:w="6500"/>
      </w:tblGrid>
      <w:tr>
        <w:trPr/>
        <w:tc>
          <w:tcPr>
            <w:tcW w:w="965" w:type="dxa"/>
            <w:tcBorders/>
            <w:vAlign w:val="center"/>
          </w:tcPr>
          <w:p>
            <w:pPr>
              <w:pStyle w:val="TableContents"/>
              <w:bidi w:val="0"/>
              <w:spacing w:before="0" w:after="283"/>
              <w:jc w:val="left"/>
              <w:rPr>
                <w:b/>
              </w:rPr>
            </w:pPr>
            <w:r>
              <w:rPr>
                <w:b/>
              </w:rPr>
              <w:t>Item 5.03</w:t>
            </w:r>
          </w:p>
        </w:tc>
        <w:tc>
          <w:tcPr>
            <w:tcW w:w="6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Amendments to Articles of Incorporation or Bylaws; Changes in Fiscal Year.</w:t>
            </w:r>
          </w:p>
        </w:tc>
      </w:tr>
    </w:tbl>
    <w:p>
      <w:pPr>
        <w:pStyle w:val="TextBody"/>
        <w:bidi w:val="0"/>
        <w:spacing w:before="120" w:after="0"/>
        <w:jc w:val="left"/>
        <w:rPr>
          <w:rFonts w:ascii="Times New Roman" w:hAnsi="Times New Roman"/>
          <w:sz w:val="20"/>
        </w:rPr>
      </w:pPr>
      <w:r>
        <w:rPr>
          <w:rFonts w:ascii="Times New Roman" w:hAnsi="Times New Roman"/>
          <w:sz w:val="20"/>
        </w:rPr>
        <w:t>On July 1, 2026, the Company filed an amended and restated certificate of incorporation (as amended and restated, the “Amended Charter”) with the Secretary of State of the State of Delaware and adopted amended and restated bylaws (as amended and restated, the “Amended Bylaws”), each of which became effective on July 1, 2026. A summary description of Amended Charter and the Amended Bylaws is contained in the Prospectus under “Description of Capital Stock” and is incorporated herein by reference. Such summary description does not purport to be complete and is qualified in its entirety by reference to the copy of the Amended Charter attached hereto as Exhibit 3.1 and the copy of the Amended Bylaws attached hereto as Exhibit 3.2, both of which are incorporated by reference into this Item 5.03.</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120" w:after="0"/>
        <w:jc w:val="left"/>
        <w:rPr>
          <w:rFonts w:ascii="Times New Roman" w:hAnsi="Times New Roman"/>
          <w:sz w:val="20"/>
        </w:rPr>
      </w:pPr>
      <w:r>
        <w:rPr>
          <w:rFonts w:ascii="Times New Roman" w:hAnsi="Times New Roman"/>
          <w:sz w:val="20"/>
        </w:rPr>
        <w:t>On July 2, 2026, the Company completed the Offering of 19,512,196 shares of Class A Common Stock at a public offering price of $16.00 per share. Pursuant to the Underwriting Agreement, the Company granted the Underwriters a 30-day option to purchase up to an additional 2,926,829 shares of Class A Common Stock. On July 1, 2026, the Company received a notice pursuant to which the Underwriters elected to exercise their option to purchase 2,926,829 additional shares of Class A Common Stock from us on the terms and conditions set forth in the Prospectus.</w:t>
      </w:r>
    </w:p>
    <w:p>
      <w:pPr>
        <w:pStyle w:val="TextBody"/>
        <w:bidi w:val="0"/>
        <w:spacing w:before="240" w:after="0"/>
        <w:jc w:val="left"/>
        <w:rPr>
          <w:rFonts w:ascii="Times New Roman" w:hAnsi="Times New Roman"/>
          <w:sz w:val="20"/>
        </w:rPr>
      </w:pPr>
      <w:r>
        <w:rPr>
          <w:rFonts w:ascii="Times New Roman" w:hAnsi="Times New Roman"/>
          <w:sz w:val="20"/>
        </w:rPr>
        <w:t>As contemplated in the Prospectus, (i) the Company contributed the net proceeds from the Offering to ITG Intermediate, LLC, a Delaware limited liability company and a wholly owned subsidiary of the Company (“Intermediate”), (ii) Intermediate used such net proceeds to purchase LLC Interests from ITG Parent, and (iii) ITG Parent used the net proceeds it received from the sale of such LLC Interests to Intermediate to repay outstanding borrowings under the Company’s revolving credit facility and term loan facility.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11.htm">
              <w:r>
                <w:rPr>
                  <w:rStyle w:val="InternetLink"/>
                </w:rPr>
                <w:t xml:space="preserve">Underwriting Agreement, dated June 30, 2026, by and among ITG, Inc., ITG Parent, LLC, and Morgan Stanley &amp; Co. LLC, Citigroup Global Markets Inc., UBS Securities LLC and Stifel, Nicolaus &amp; Company, Incorporated, as representatives of the underwriters named in Schedule I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31.htm">
              <w:r>
                <w:rPr>
                  <w:rStyle w:val="InternetLink"/>
                </w:rPr>
                <w:t xml:space="preserve">Amended and Restated Certificate of Incorporation of ITG,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32.htm">
              <w:r>
                <w:rPr>
                  <w:rStyle w:val="InternetLink"/>
                </w:rPr>
                <w:t xml:space="preserve">Amended and Restated Bylaws of ITG,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41.htm">
              <w:r>
                <w:rPr>
                  <w:rStyle w:val="InternetLink"/>
                </w:rPr>
                <w:t xml:space="preserve">Stockholders Agreement, dated July 2, 2026, by and among ITG, Inc., OCM Power VI AIV Holdings (Delaware), L.P., OCM ITG Aggregator, LLC, and ITG Management Holdings,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42.htm">
              <w:r>
                <w:rPr>
                  <w:rStyle w:val="InternetLink"/>
                </w:rPr>
                <w:t xml:space="preserve">Registration Rights Agreement, dated as of July 2, 2026, by and among ITG, Inc. and each of the other signatories from time to time party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101.htm">
              <w:r>
                <w:rPr>
                  <w:rStyle w:val="InternetLink"/>
                </w:rPr>
                <w:t xml:space="preserve">Second Amended and Restated Limited Liability Company Agreement of ITG Parent, LLC dated as of July 1, 2026, by and among the Company and the other signatories party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102.htm">
              <w:r>
                <w:rPr>
                  <w:rStyle w:val="InternetLink"/>
                </w:rPr>
                <w:t xml:space="preserve">Tax Receivable Agreement, dated as of July 1, 2026, by and among ITG, Inc., ITG Parent, LLC and the TRA Holders (as defined in the Tax Receivable Agreement).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103.htm">
              <w:r>
                <w:rPr>
                  <w:rStyle w:val="InternetLink"/>
                </w:rPr>
                <w:t xml:space="preserve">ITG, Inc. Omnibus Incentive Plan.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104.htm">
              <w:r>
                <w:rPr>
                  <w:rStyle w:val="InternetLink"/>
                </w:rPr>
                <w:t xml:space="preserve">Form of Restricted Stock Unit Grant Notice and Award Agreement.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105.htm">
              <w:r>
                <w:rPr>
                  <w:rStyle w:val="InternetLink"/>
                </w:rPr>
                <w:t xml:space="preserve">Form of Performance Restricted Stock Unit Grant Notice and Award Agreement.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8011dex106.htm">
              <w:r>
                <w:rPr>
                  <w:rStyle w:val="InternetLink"/>
                </w:rPr>
                <w:t xml:space="preserve">Form of Non-Employee Director Restricted Stock Unit Grant Notice and Award Agreement.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Form of Indemnification Agreement (incorporated by reference to Exhibit 10.7 to the Company’s Registration Statement on Form S-1 filed with the Securities and Exchange Commission on June 5,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4928" w:type="dxa"/>
        <w:jc w:val="left"/>
        <w:tblInd w:w="0" w:type="dxa"/>
        <w:tblLayout w:type="fixed"/>
        <w:tblCellMar>
          <w:top w:w="0" w:type="dxa"/>
          <w:left w:w="0" w:type="dxa"/>
          <w:bottom w:w="0" w:type="dxa"/>
          <w:right w:w="0" w:type="dxa"/>
        </w:tblCellMar>
      </w:tblPr>
      <w:tblGrid>
        <w:gridCol w:w="1775"/>
        <w:gridCol w:w="60"/>
        <w:gridCol w:w="23"/>
        <w:gridCol w:w="60"/>
        <w:gridCol w:w="650"/>
        <w:gridCol w:w="60"/>
        <w:gridCol w:w="230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ITG,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D. Parrott</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Andrew D. Parrott</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TextBody"/>
        <w:bidi w:val="0"/>
        <w:spacing w:before="0" w:after="0"/>
        <w:jc w:val="right"/>
        <w:rPr>
          <w:rFonts w:ascii="Times New Roman" w:hAnsi="Times New Roman"/>
          <w:b/>
          <w:sz w:val="20"/>
        </w:rPr>
      </w:pPr>
      <w:bookmarkStart w:id="3" w:name="d88011dex11.htm"/>
      <w:bookmarkStart w:id="4" w:name="ksd88011dex11"/>
      <w:bookmarkEnd w:id="3"/>
      <w:bookmarkEnd w:id="4"/>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19,512,196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ITG, INC. </w:t>
      </w:r>
    </w:p>
    <w:p>
      <w:pPr>
        <w:pStyle w:val="TextBody"/>
        <w:bidi w:val="0"/>
        <w:spacing w:before="240" w:after="0"/>
        <w:jc w:val="center"/>
        <w:rPr>
          <w:rFonts w:ascii="Times New Roman" w:hAnsi="Times New Roman"/>
          <w:b/>
          <w:sz w:val="20"/>
        </w:rPr>
      </w:pPr>
      <w:r>
        <w:rPr>
          <w:rFonts w:ascii="Times New Roman" w:hAnsi="Times New Roman"/>
          <w:b/>
          <w:sz w:val="20"/>
        </w:rPr>
        <w:t xml:space="preserve">CLASS A COMMON STOCK, PAR VALUE $0.001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June 30,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June 30, 2026 </w:t>
      </w:r>
    </w:p>
    <w:p>
      <w:pPr>
        <w:pStyle w:val="TextBody"/>
        <w:bidi w:val="0"/>
        <w:spacing w:before="36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UBS Securities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Morgan Stanley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Citigroup Global Markets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UBS Securities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11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Stifel, Nicolaus &amp; Company, Incorporated </w:t>
            </w:r>
          </w:p>
        </w:tc>
      </w:tr>
    </w:tbl>
    <w:p>
      <w:pPr>
        <w:pStyle w:val="TextBody"/>
        <w:bidi w:val="0"/>
        <w:spacing w:before="0" w:after="0"/>
        <w:jc w:val="left"/>
        <w:rPr>
          <w:rFonts w:ascii="Times New Roman" w:hAnsi="Times New Roman"/>
          <w:sz w:val="20"/>
        </w:rPr>
      </w:pPr>
      <w:r>
        <w:rPr>
          <w:rFonts w:ascii="Times New Roman" w:hAnsi="Times New Roman"/>
          <w:sz w:val="20"/>
        </w:rPr>
        <w:t xml:space="preserve">787 Seventh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ITG, Inc., a Delaware corporation (the “</w:t>
      </w:r>
      <w:r>
        <w:rPr>
          <w:rFonts w:ascii="Times New Roman" w:hAnsi="Times New Roman"/>
          <w:b/>
          <w:sz w:val="20"/>
        </w:rPr>
        <w:t>Company</w:t>
      </w:r>
      <w:r>
        <w:rPr>
          <w:rFonts w:ascii="Times New Roman" w:hAnsi="Times New Roman"/>
          <w:sz w:val="20"/>
        </w:rPr>
        <w:t>”), proposes, subject to the terms and conditions set forth in this agreement (this “</w:t>
      </w:r>
      <w:r>
        <w:rPr>
          <w:rFonts w:ascii="Times New Roman" w:hAnsi="Times New Roman"/>
          <w:b/>
          <w:sz w:val="20"/>
        </w:rPr>
        <w:t>Agreement</w:t>
      </w:r>
      <w:r>
        <w:rPr>
          <w:rFonts w:ascii="Times New Roman" w:hAnsi="Times New Roman"/>
          <w:sz w:val="20"/>
        </w:rPr>
        <w:t>”), to issue and sell to the several Underwriters named in Schedule I hereto (the “</w:t>
      </w:r>
      <w:r>
        <w:rPr>
          <w:rFonts w:ascii="Times New Roman" w:hAnsi="Times New Roman"/>
          <w:b/>
          <w:sz w:val="20"/>
        </w:rPr>
        <w:t>Underwriters</w:t>
      </w:r>
      <w:r>
        <w:rPr>
          <w:rFonts w:ascii="Times New Roman" w:hAnsi="Times New Roman"/>
          <w:sz w:val="20"/>
        </w:rPr>
        <w:t>”) an aggregate of 19,512,196 shares of the Class A common stock, par value $0.001 per share, of the Company (the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Such shares of Class A Common Stock to be sold by the Company shall hereinafter be referred to as the “</w:t>
      </w:r>
      <w:r>
        <w:rPr>
          <w:rFonts w:ascii="Times New Roman" w:hAnsi="Times New Roman"/>
          <w:b/>
          <w:sz w:val="20"/>
        </w:rPr>
        <w:t>Firm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also proposes, subject to the terms and conditions set forth in this Agreement, to sell to the several Underwriters not more than 2,926,829 shares of Class A Common Stock (the “</w:t>
      </w:r>
      <w:r>
        <w:rPr>
          <w:rFonts w:ascii="Times New Roman" w:hAnsi="Times New Roman"/>
          <w:b/>
          <w:sz w:val="20"/>
        </w:rPr>
        <w:t>Additional Shares</w:t>
      </w:r>
      <w:r>
        <w:rPr>
          <w:rFonts w:ascii="Times New Roman" w:hAnsi="Times New Roman"/>
          <w:sz w:val="20"/>
        </w:rPr>
        <w:t>”) if and to the extent that Morgan Stanley &amp; Co. LLC (“</w:t>
      </w:r>
      <w:r>
        <w:rPr>
          <w:rFonts w:ascii="Times New Roman" w:hAnsi="Times New Roman"/>
          <w:b/>
          <w:sz w:val="20"/>
        </w:rPr>
        <w:t>Morgan Stanley</w:t>
      </w:r>
      <w:r>
        <w:rPr>
          <w:rFonts w:ascii="Times New Roman" w:hAnsi="Times New Roman"/>
          <w:sz w:val="20"/>
        </w:rPr>
        <w:t>”), Citigroup Global Markets Inc. (“</w:t>
      </w:r>
      <w:r>
        <w:rPr>
          <w:rFonts w:ascii="Times New Roman" w:hAnsi="Times New Roman"/>
          <w:b/>
          <w:sz w:val="20"/>
        </w:rPr>
        <w:t>Citi</w:t>
      </w:r>
      <w:r>
        <w:rPr>
          <w:rFonts w:ascii="Times New Roman" w:hAnsi="Times New Roman"/>
          <w:sz w:val="20"/>
        </w:rPr>
        <w:t>”), UBS Securities LLC (“</w:t>
      </w:r>
      <w:r>
        <w:rPr>
          <w:rFonts w:ascii="Times New Roman" w:hAnsi="Times New Roman"/>
          <w:b/>
          <w:sz w:val="20"/>
        </w:rPr>
        <w:t>UBS</w:t>
      </w:r>
      <w:r>
        <w:rPr>
          <w:rFonts w:ascii="Times New Roman" w:hAnsi="Times New Roman"/>
          <w:sz w:val="20"/>
        </w:rPr>
        <w:t>”) and Stifel, Nicolaus &amp; Company, Incorporated, as representatives of the offering (the “</w:t>
      </w:r>
      <w:r>
        <w:rPr>
          <w:rFonts w:ascii="Times New Roman" w:hAnsi="Times New Roman"/>
          <w:b/>
          <w:sz w:val="20"/>
        </w:rPr>
        <w:t>Representatives</w:t>
      </w:r>
      <w:r>
        <w:rPr>
          <w:rFonts w:ascii="Times New Roman" w:hAnsi="Times New Roman"/>
          <w:sz w:val="20"/>
        </w:rPr>
        <w:t xml:space="preserve">”), shall have determined to exercise, on behalf of the Underwriters, the right to purchase such shares of Class A Common Stock granted to the Underwriters in Section 2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Firm Shares and the Additional Shares are hereinafter collectively referred to as the “</w:t>
      </w:r>
      <w:r>
        <w:rPr>
          <w:rFonts w:ascii="Times New Roman" w:hAnsi="Times New Roman"/>
          <w:b/>
          <w:sz w:val="20"/>
        </w:rPr>
        <w:t>Shares</w:t>
      </w:r>
      <w:r>
        <w:rPr>
          <w:rFonts w:ascii="Times New Roman" w:hAnsi="Times New Roman"/>
          <w:sz w:val="20"/>
        </w:rPr>
        <w:t>.” The shares of Class A Common Stock, together with the shares of Class B common stock, par value $0.001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the offering contemplated by this Agreement, the “Transactions” (as such term is defined in the Registration Statement, the Time of Sale Prospectus and the Prospectus (each as defined below) under the caption “Organizational Structure—Transactions”) were or will be effected, pursuant to which, among other things, a wholly owned subsidiary of the Company will become the sole managing member of ITG Parent, LLC, a Delaware limited liability company (“</w:t>
      </w:r>
      <w:r>
        <w:rPr>
          <w:rFonts w:ascii="Times New Roman" w:hAnsi="Times New Roman"/>
          <w:b/>
          <w:sz w:val="20"/>
        </w:rPr>
        <w:t>ITG Parent</w:t>
      </w:r>
      <w:r>
        <w:rPr>
          <w:rFonts w:ascii="Times New Roman" w:hAnsi="Times New Roman"/>
          <w:sz w:val="20"/>
        </w:rPr>
        <w:t>”) and the Company will operate and control all of the business and affairs of ITG Parent and its direct and indirect subsidiaries, including ITG Communications, LLC, a Texas limited liability company (“</w:t>
      </w:r>
      <w:r>
        <w:rPr>
          <w:rFonts w:ascii="Times New Roman" w:hAnsi="Times New Roman"/>
          <w:b/>
          <w:sz w:val="20"/>
        </w:rPr>
        <w:t>ITG OpCo</w:t>
      </w:r>
      <w:r>
        <w:rPr>
          <w:rFonts w:ascii="Times New Roman" w:hAnsi="Times New Roman"/>
          <w:sz w:val="20"/>
        </w:rPr>
        <w:t>”). Through ITG Parent and its direct and indirect subsidiaries, including ITG OpCo, the Company will conduct its business, and the Company’s principal asset will consist of directly- and indirectly-owned equity interests (such equity interests, “</w:t>
      </w:r>
      <w:r>
        <w:rPr>
          <w:rFonts w:ascii="Times New Roman" w:hAnsi="Times New Roman"/>
          <w:b/>
          <w:sz w:val="20"/>
        </w:rPr>
        <w:t>LLC Interests</w:t>
      </w:r>
      <w:r>
        <w:rPr>
          <w:rFonts w:ascii="Times New Roman" w:hAnsi="Times New Roman"/>
          <w:sz w:val="20"/>
        </w:rPr>
        <w:t>”) in ITG Parent. The Company and ITG Parent are each referred to herein as a “</w:t>
      </w:r>
      <w:r>
        <w:rPr>
          <w:rFonts w:ascii="Times New Roman" w:hAnsi="Times New Roman"/>
          <w:b/>
          <w:sz w:val="20"/>
        </w:rPr>
        <w:t>Company Party</w:t>
      </w:r>
      <w:r>
        <w:rPr>
          <w:rFonts w:ascii="Times New Roman" w:hAnsi="Times New Roman"/>
          <w:sz w:val="20"/>
        </w:rPr>
        <w:t>” and, collectively, as the “</w:t>
      </w:r>
      <w:r>
        <w:rPr>
          <w:rFonts w:ascii="Times New Roman" w:hAnsi="Times New Roman"/>
          <w:b/>
          <w:sz w:val="20"/>
        </w:rPr>
        <w:t>Company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S-1 (File No. 333-296557),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If the Company has filed an abbreviated registration statement to register additional shares of Class A Common Stock pursuant to Rule 462(b) under the Securities Act (a “</w:t>
      </w:r>
      <w:r>
        <w:rPr>
          <w:rFonts w:ascii="Times New Roman" w:hAnsi="Times New Roman"/>
          <w:b/>
          <w:sz w:val="20"/>
        </w:rPr>
        <w:t>Rule</w:t>
      </w:r>
      <w:r>
        <w:rPr>
          <w:rFonts w:ascii="Times New Roman" w:hAnsi="Times New Roman"/>
          <w:sz w:val="20"/>
        </w:rPr>
        <w:t> </w:t>
      </w:r>
      <w:r>
        <w:rPr>
          <w:rFonts w:ascii="Times New Roman" w:hAnsi="Times New Roman"/>
          <w:b/>
          <w:sz w:val="20"/>
        </w:rPr>
        <w:t>462 Registration Statement</w:t>
      </w:r>
      <w:r>
        <w:rPr>
          <w:rFonts w:ascii="Times New Roman" w:hAnsi="Times New Roman"/>
          <w:sz w:val="20"/>
        </w:rPr>
        <w:t>”), then any reference herein to the term “</w:t>
      </w:r>
      <w:r>
        <w:rPr>
          <w:rFonts w:ascii="Times New Roman" w:hAnsi="Times New Roman"/>
          <w:b/>
          <w:sz w:val="20"/>
        </w:rPr>
        <w:t>Registration Statement</w:t>
      </w:r>
      <w:r>
        <w:rPr>
          <w:rFonts w:ascii="Times New Roman" w:hAnsi="Times New Roman"/>
          <w:sz w:val="20"/>
        </w:rPr>
        <w:t xml:space="preserve">” shall be deemed to include such Rule 462 Registration Statement.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preliminary prospectus</w:t>
      </w:r>
      <w:r>
        <w:rPr>
          <w:rFonts w:ascii="Times New Roman" w:hAnsi="Times New Roman"/>
          <w:sz w:val="20"/>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hAnsi="Times New Roman"/>
          <w:b/>
          <w:sz w:val="20"/>
        </w:rPr>
        <w:t>Time of Sale Prospectus</w:t>
      </w:r>
      <w:r>
        <w:rPr>
          <w:rFonts w:ascii="Times New Roman" w:hAnsi="Times New Roman"/>
          <w:sz w:val="20"/>
        </w:rPr>
        <w:t>” means the preliminary prospectus contained in the Registration Statement at the time of its effectiveness together with the documents and pricing information set forth in Schedule II hereto, and “</w:t>
      </w:r>
      <w:r>
        <w:rPr>
          <w:rFonts w:ascii="Times New Roman" w:hAnsi="Times New Roman"/>
          <w:b/>
          <w:sz w:val="20"/>
        </w:rPr>
        <w:t>broadly available road show</w:t>
      </w:r>
      <w:r>
        <w:rPr>
          <w:rFonts w:ascii="Times New Roman" w:hAnsi="Times New Roman"/>
          <w:sz w:val="20"/>
        </w:rPr>
        <w:t xml:space="preserve">”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 “Time of Sale” means 4:30 p.m., New York City time, on June 30, 2026. Except where otherwise expressly provided, the term “affiliate” has the meaning set forth in Rule 405 promulgated under the Securities Act and the term “subsidiary” has the meaning set forth in Rule 405 promulgated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Morgan Stanley has agreed to reserve a portion of the Shares to be purchased by it under this Agreement for sale to the Company’s directors, officers, employees and business associates and other parties related to the Company (collectively, “</w:t>
      </w:r>
      <w:r>
        <w:rPr>
          <w:rFonts w:ascii="Times New Roman" w:hAnsi="Times New Roman"/>
          <w:b/>
          <w:sz w:val="20"/>
        </w:rPr>
        <w:t>Participants</w:t>
      </w:r>
      <w:r>
        <w:rPr>
          <w:rFonts w:ascii="Times New Roman" w:hAnsi="Times New Roman"/>
          <w:sz w:val="20"/>
        </w:rPr>
        <w:t>”), as set forth in each of the Time of Sale Prospectus and the Prospectus under the heading “Underwriting (Conflicts of Interest)” (the “</w:t>
      </w:r>
      <w:r>
        <w:rPr>
          <w:rFonts w:ascii="Times New Roman" w:hAnsi="Times New Roman"/>
          <w:b/>
          <w:sz w:val="20"/>
        </w:rPr>
        <w:t>Directed Share Program</w:t>
      </w:r>
      <w:r>
        <w:rPr>
          <w:rFonts w:ascii="Times New Roman" w:hAnsi="Times New Roman"/>
          <w:sz w:val="20"/>
        </w:rPr>
        <w:t>”). The Shares to be sold by Morgan Stanley and its affiliates pursuant to the Directed Share Program, at the direction of the Company, are referred to hereinafter as the “</w:t>
      </w:r>
      <w:r>
        <w:rPr>
          <w:rFonts w:ascii="Times New Roman" w:hAnsi="Times New Roman"/>
          <w:b/>
          <w:sz w:val="20"/>
        </w:rPr>
        <w:t>Directed Shares</w:t>
      </w:r>
      <w:r>
        <w:rPr>
          <w:rFonts w:ascii="Times New Roman" w:hAnsi="Times New Roman"/>
          <w:sz w:val="20"/>
        </w:rPr>
        <w:t xml:space="preserve">”. Any Directed Shares not orally confirmed for purchase by any Participant by the end of the business day on which this Agreement is executed will be offered to the public by the Underwriters as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 of the Company Parties</w:t>
      </w:r>
      <w:r>
        <w:rPr>
          <w:rFonts w:ascii="Times New Roman" w:hAnsi="Times New Roman"/>
          <w:sz w:val="20"/>
        </w:rPr>
        <w:t xml:space="preserve">. Each Company Party, jointly and severally, represents and warrants to and agrees with each of the Underwriters that, as of the date hereof, the Time of Sale, the Closing Date (as defined in Section 4) and any Option Closing Date (as defined in Section 2):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in order to make the statements made therein not misleading, (ii) the Registration Statement and the Prospectus comply and, as amended or supplemented, if applicable, will comply, as of the date of such amendment or supplement,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and any Option Closing Date (as defined in Section 2), the Time of Sale Prospectus, as then amended or supplemented by the Company, if applicable, will not, contain any untrue statement of a material fact or omit to state a material fact necessary in order to make the statements made therein, in the light of the circumstances under which they were made, not misleading, (iv) each broadly available road show, if any, does not conflict with the Time of Sale Prospectus and when considered together with the Time of Sale Prospectus, does not contain any untrue statement of a material fact or omit to state a material fact necessary in order to make the statements made therein, in the light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circumstances under which they were made, not misleading and (v) the Prospectus, as of its date, does not contain and, as amended or supplemented, if applicable, as of the date of such amendment or supplement, will not contain, as of the date of such amendment or supplement, any untrue statement of a material fact or omit to state a material fact necessary in order to make the statements made therein, in the light of the circumstances under which they were made, not misleading, except that the representations and warranties set forth in this paragraph do not apply to statements or omissions in the Registration Statement, the Time of Sale Prospectus or the Prospectus made in reliance upon and in conformity with information relating to any Underwriter furnished to the Company in writing by, or on behalf of, such Underwriter through the Representatives expressly for use therein, it being understood and agreed that the only such information furnished by any Underwriter consists of the Underwriter Information (as defined in Section 9(b)). </w:t>
      </w:r>
    </w:p>
    <w:p>
      <w:pPr>
        <w:pStyle w:val="TextBody"/>
        <w:bidi w:val="0"/>
        <w:spacing w:before="120" w:after="0"/>
        <w:jc w:val="left"/>
        <w:rPr>
          <w:rFonts w:ascii="Times New Roman" w:hAnsi="Times New Roman"/>
          <w:sz w:val="20"/>
        </w:rPr>
      </w:pPr>
      <w:r>
        <w:rPr>
          <w:rFonts w:ascii="Times New Roman" w:hAnsi="Times New Roman"/>
          <w:sz w:val="20"/>
        </w:rPr>
        <w:t xml:space="preserve">(c)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date of this Agreement, will comply, when filed,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 </w:t>
      </w:r>
    </w:p>
    <w:p>
      <w:pPr>
        <w:pStyle w:val="TextBody"/>
        <w:bidi w:val="0"/>
        <w:spacing w:before="120" w:after="0"/>
        <w:jc w:val="left"/>
        <w:rPr>
          <w:rFonts w:ascii="Times New Roman" w:hAnsi="Times New Roman"/>
          <w:sz w:val="20"/>
        </w:rPr>
      </w:pPr>
      <w:r>
        <w:rPr>
          <w:rFonts w:ascii="Times New Roman" w:hAnsi="Times New Roman"/>
          <w:sz w:val="20"/>
        </w:rPr>
        <w:t>(d) The Company Parties have been duly incorporated or formed, as applicable, are validly existing as a corporation or limited liability company in good standing under the laws of the jurisdiction of its incorporation or organization, have the corporate or limited liability company power and authority to own or lease their property and to conduct their business as described in each of the Registration Statement, the Time of Sale Prospectus and the Prospectus and are duly qualified to transact business and are in good standing (to the extent the concept of good standing is applicable in such jurisdiction) in each jurisdiction in which the conduct of their business or their ownership or leasing of property requires such qualification, except to the extent that the failure to be so qualified or be in good standing would not reasonably be expected to, individually or in the aggregate, have a material adverse effect on the condition, financial or otherwise, or on the earnings, business or operations of the Company Parties and their respective subsidiaries, taken as a whole (a “</w:t>
      </w:r>
      <w:r>
        <w:rPr>
          <w:rFonts w:ascii="Times New Roman" w:hAnsi="Times New Roman"/>
          <w:b/>
          <w:sz w:val="20"/>
        </w:rPr>
        <w:t>Material Adverse Effect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subsidiary of the Company has been duly incorporated, organized or formed, as applicable, is validly existing as a corporation or other business entity in good standing under the laws of the jurisdiction of its incorporation, organization or formation (to the extent the concept of good standing is applicable in such jurisdiction),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(to the extent the concept of good standing is applicable in such jurisdiction), except to the extent that the failure to be so qualified or be in good standing would not, individually or in the aggregate, reasonably be expected to have a Material Adverse Effect; and all of the issued shares of capital stock or other equity interests of each subsidiary of the Company have been duly and validly authorized and issued, are fully paid and non-assessable (to the extent such concepts are applicable under relevant law) and are owned directly or indirectly by the Company, free and clear of all liens, encumbrances, equities or claims, except for (i) any liens, encumbrances, equities or claims arising pursuant to indebtedness or financing arrangements described in the Time of Sale Prospectus and the Prospectus and (ii) such other liens, encumbrances, equities or claims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and the performance by each of the Company Parties of their respective obligations hereunder have been duly authorized by all necessary corporate or limited liability company action, and this Agreement has been duly executed and delivered by each of the Company Parties. </w:t>
      </w:r>
    </w:p>
    <w:p>
      <w:pPr>
        <w:pStyle w:val="TextBody"/>
        <w:bidi w:val="0"/>
        <w:spacing w:before="120" w:after="0"/>
        <w:jc w:val="left"/>
        <w:rPr>
          <w:rFonts w:ascii="Times New Roman" w:hAnsi="Times New Roman"/>
          <w:sz w:val="20"/>
        </w:rPr>
      </w:pPr>
      <w:r>
        <w:rPr>
          <w:rFonts w:ascii="Times New Roman" w:hAnsi="Times New Roman"/>
          <w:sz w:val="20"/>
        </w:rPr>
        <w:t xml:space="preserve">(g) The authorized capital stock of the Company conforms as to legal matters to the description thereof contained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(i) The shares of Common Stock outstanding prior to the issuance of the Shares have been duly authorized and are validly issued, fully paid and non-assessable; and (ii) the Shares have been duly authorized and, when issued, delivered and paid for in accordance with the terms of this Agreement, will be validly issued, fully paid and non-assessable, and the issuance of such Shares will not be subject to any preemptive or similar rights that have not been validly waived.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Company Parties nor any of their respective subsidiaries is currently in violation of, and the execution and delivery by the Company Parties of, and the performance by the Company Parties of their respective obligations under, this Agreement will not contravene, (i) any provision of applicable law, (ii) the certificate of incorporation or by-laws (or similar organizational documents) of such Company Party or any subsidiary, (iii) any agreement or other instrument binding upon such Company Party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subsidiaries that is material to the Company Party and its subsidiaries, taken as a whole, or (iv) any judgment, order or decree of any governmental body, agency or court having jurisdiction over the Company Party or any subsidiary, and no consent, approval, authorization or order of, or qualification with, any governmental body, agency or court is required for the performance by the Company Party of its obligations under this Agreement, except those that have been obtained or completed, such as have already been obtained or as may be required by the rules and regulations of the Financial Industry Regulatory Authority, Inc. (“</w:t>
      </w:r>
      <w:r>
        <w:rPr>
          <w:rFonts w:ascii="Times New Roman" w:hAnsi="Times New Roman"/>
          <w:b/>
          <w:sz w:val="20"/>
        </w:rPr>
        <w:t>FINRA</w:t>
      </w:r>
      <w:r>
        <w:rPr>
          <w:rFonts w:ascii="Times New Roman" w:hAnsi="Times New Roman"/>
          <w:sz w:val="20"/>
        </w:rPr>
        <w:t>”) or such as have already been obtained or as may be required under the Securities Act or the rules and regulations thereunder, Securities Exchange Act of 1934, as amended (the “</w:t>
      </w:r>
      <w:r>
        <w:rPr>
          <w:rFonts w:ascii="Times New Roman" w:hAnsi="Times New Roman"/>
          <w:b/>
          <w:sz w:val="20"/>
        </w:rPr>
        <w:t>Exchange Act</w:t>
      </w:r>
      <w:r>
        <w:rPr>
          <w:rFonts w:ascii="Times New Roman" w:hAnsi="Times New Roman"/>
          <w:sz w:val="20"/>
        </w:rPr>
        <w:t xml:space="preserve">”) or the rules and regulations thereunder, or by the securities or Blue Sky laws of the various states in connection with the offer and sale of the Shares or as may be required for the approval of the listing of the Shares on the Nasdaq Global Select Market, except, in the cases of clauses (i), (iii) and (iv)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(j) There has not occurred any material adverse change, or any development involving a prospective material adverse change, in the condition, financial or otherwise, or in the earnings, business or operations of any of the Company Parties and their respective subsidiaries, taken as a whole, from that set forth in the Time of Sale Prospectus. </w:t>
      </w:r>
    </w:p>
    <w:p>
      <w:pPr>
        <w:pStyle w:val="TextBody"/>
        <w:bidi w:val="0"/>
        <w:spacing w:before="120" w:after="0"/>
        <w:jc w:val="left"/>
        <w:rPr>
          <w:rFonts w:ascii="Times New Roman" w:hAnsi="Times New Roman"/>
          <w:sz w:val="20"/>
        </w:rPr>
      </w:pPr>
      <w:r>
        <w:rPr>
          <w:rFonts w:ascii="Times New Roman" w:hAnsi="Times New Roman"/>
          <w:sz w:val="20"/>
        </w:rPr>
        <w:t>(k) There are no legal, governmental or regulatory proceedings, actions, investigations, demands, claims, suits, arbitrations or inquiries (collectively, “</w:t>
      </w:r>
      <w:r>
        <w:rPr>
          <w:rFonts w:ascii="Times New Roman" w:hAnsi="Times New Roman"/>
          <w:b/>
          <w:sz w:val="20"/>
        </w:rPr>
        <w:t>Proceedings</w:t>
      </w:r>
      <w:r>
        <w:rPr>
          <w:rFonts w:ascii="Times New Roman" w:hAnsi="Times New Roman"/>
          <w:sz w:val="20"/>
        </w:rPr>
        <w:t xml:space="preserve">”) pending or, to the knowledge of the Company Parties, threatened to which the Company Parties or any of their respective subsidiaries is a party or to which any of the properties of any of the Company Parties or any of their respective subsidiaries is subject other than Proceedings that would not, individually or in the aggregate, reasonably be expected to have a Material Adverse Effect or a material adverse effect on the power or ability of the Company Parties to perform their respective obligations under this Agreement or to consummate the transactions contemplated by each of the Registration Statement, the Time of Sale Prospectus and the Prospectus. There are no Proceedings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(l)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Company Parties are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(n) Except as permitted under Regulation M under the Exchange Act, neither the Company nor an affiliate of the Company has taken, directly or indirectly, any action designed to cause or result in, or which has constituted or which would reasonably be expected to constitute, the stabilization or manipulation of the price of any securities of the Company, to facilitate the sale or resale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(o) Except as disclosed in the Registration Statement, the Time of Sale Prospectus or the Prospectus, the Company Parties (i) do not have any material lending or other relationship with any bank or lending affiliate of any Underwriter, and (ii) do not intend to use any of the proceeds from the sale of the Shares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(p) The Company Parties and each of their respective subsidiaries (A) are in compliance with any and all applicable foreign, federal, state and local laws and regulations relating to pollution, human health and safety (as related to exposure to Hazardous Materials), and the environment, including, without limitation, ambient air, surface water, groundwater, sediment, land surface, or subsurface strata), natural resources, wildlife or ecosystems, including, without limitation, laws and regulations relating to the release or threatened release of, or exposure of any person to, any chemical, substance, material or waste that is regulated or defined as hazardous, toxic or radioactive, or as a pollutant or contaminant, or words of similar meaning due to its hazardous or dangerous properties or characteristics, in or under any law or regulation, and any petroleum or petroleum byproducts, asbestos-containing materials, toxic mold, or per- or polyfluoroalkyl substances (“</w:t>
      </w:r>
      <w:r>
        <w:rPr>
          <w:rFonts w:ascii="Times New Roman" w:hAnsi="Times New Roman"/>
          <w:b/>
          <w:sz w:val="20"/>
        </w:rPr>
        <w:t>Hazardous Materials</w:t>
      </w:r>
      <w:r>
        <w:rPr>
          <w:rFonts w:ascii="Times New Roman" w:hAnsi="Times New Roman"/>
          <w:sz w:val="20"/>
        </w:rPr>
        <w:t>”) (any such laws or regulations, “</w:t>
      </w:r>
      <w:r>
        <w:rPr>
          <w:rFonts w:ascii="Times New Roman" w:hAnsi="Times New Roman"/>
          <w:b/>
          <w:sz w:val="20"/>
        </w:rPr>
        <w:t>Environmental Laws</w:t>
      </w:r>
      <w:r>
        <w:rPr>
          <w:rFonts w:ascii="Times New Roman" w:hAnsi="Times New Roman"/>
          <w:sz w:val="20"/>
        </w:rPr>
        <w:t xml:space="preserve">”), (B) hold all permits, licenses, registrations, or other approvals required of them under applicable Environmental Laws to conduct their respective businesses as currently conducted, (C) are in compliance with all terms and conditions of any such permit, license, registration or approval, and (D) have not received, are not a party to, and are not aware of any pending or threatened (in writing) administrative, regulatory or judicial actions, suits, demands, demand letters, claims, liens, notices of noncompliance or violation, notices of liability, investigations or proceedings relating to any Environmental Law or any permit, license, registration or other approval required thereunder, and are not a party to any outstanding order for clean-up or remediation, relating to any release of Hazardous Materials caused by the Company Parties or any of their respective subsidiaries, that has been issued under any Environmental Laws, except in the case of any and all of the foregoing, as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Except as otherwise have been validly waived or complied with in connection with the issuance and sale of the Shares contemplated by this Agreement and as described in each of the Registration Statement, the Time of Sale Prospectus and the Prospectus, there are no contracts, agreements or understandings between the Company Parties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w:t>
      </w:r>
    </w:p>
    <w:p>
      <w:pPr>
        <w:pStyle w:val="TextBody"/>
        <w:bidi w:val="0"/>
        <w:spacing w:before="120" w:after="0"/>
        <w:jc w:val="left"/>
        <w:rPr>
          <w:rFonts w:ascii="Times New Roman" w:hAnsi="Times New Roman"/>
          <w:sz w:val="20"/>
        </w:rPr>
      </w:pPr>
      <w:r>
        <w:rPr>
          <w:rFonts w:ascii="Times New Roman" w:hAnsi="Times New Roman"/>
          <w:sz w:val="20"/>
        </w:rPr>
        <w:t>(r) None of the Company Parties nor any of their respective subsidiaries or controlled affiliates, nor any director or officer thereof, nor, to the knowledge of the Company Parties, any employee, agent or representative of any Company Party or of any of their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 owned or controlled entity or of a public international organization, or any person acting in an official capacity for or on behalf of any of the foregoing, or any political party or party official or candidate for political office) (a “</w:t>
      </w:r>
      <w:r>
        <w:rPr>
          <w:rFonts w:ascii="Times New Roman" w:hAnsi="Times New Roman"/>
          <w:b/>
          <w:sz w:val="20"/>
        </w:rPr>
        <w:t>Government Official</w:t>
      </w:r>
      <w:r>
        <w:rPr>
          <w:rFonts w:ascii="Times New Roman" w:hAnsi="Times New Roman"/>
          <w:sz w:val="20"/>
        </w:rPr>
        <w:t>”) to improperly influence official action by that Government Official for the benefit of the Company Parties or their respective subsidiaries or controlled affiliates, or to otherwise secure any improper advantage, or to any person in violation of (a) the U.S. Foreign Corrupt Practices Act of 1977, (b) the UK Bribery Act 2010, or (c) any other applicable law, regulation, order, decree or directive having the force of law and relating to bribery or corruption (collectively, the “</w:t>
      </w:r>
      <w:r>
        <w:rPr>
          <w:rFonts w:ascii="Times New Roman" w:hAnsi="Times New Roman"/>
          <w:b/>
          <w:sz w:val="20"/>
        </w:rPr>
        <w:t>Anti-Corruption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(s) The operations of the Company Parties and each of their respective subsidiaries are and have been conducted at all times in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(collectively, the “</w:t>
      </w:r>
      <w:r>
        <w:rPr>
          <w:rFonts w:ascii="Times New Roman" w:hAnsi="Times New Roman"/>
          <w:b/>
          <w:sz w:val="20"/>
        </w:rPr>
        <w:t>Anti-Money Laundering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 (i) None of the Company Parties nor any of their respective subsidiaries, nor any director, officer, or to the knowledge of the Company Parties, any employee, agent, controlled affiliate, or representative of any of the Company Parties or any of their respective subsidiaries,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or target of any sanctions administered or enforced by the United States federal government (including the U.S. Department of the Treasury’s Office of Foreign Assets Control and the U.S. Department of State), the United Nations Security Council, the European Union, His Majesty’s Treasury, or any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North Korea and Syria (with respect to Syria only, until July 1, 2025)).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Company Parties and each of their respective subsidiaries (a) have not, since April 24, 2019, engaged in, (b) are not now engaged in, and (c) will not engage in, any dealings or transactions with any Person, or in any country or territory, that at the time of the dealing or transaction is or was, or whose government is or was,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(u) Each of the Company Parties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(i) to fund or facilitate any activities or business of or with any Person or in any country or territory that, at the time of such funding or facilitation, is or whose government is,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(ii) to fund or facilitate any money laundering or terrorist financing activities; or </w:t>
      </w:r>
    </w:p>
    <w:p>
      <w:pPr>
        <w:pStyle w:val="TextBody"/>
        <w:bidi w:val="0"/>
        <w:spacing w:before="120" w:after="0"/>
        <w:jc w:val="left"/>
        <w:rPr>
          <w:rFonts w:ascii="Times New Roman" w:hAnsi="Times New Roman"/>
          <w:sz w:val="20"/>
        </w:rPr>
      </w:pPr>
      <w:r>
        <w:rPr>
          <w:rFonts w:ascii="Times New Roman" w:hAnsi="Times New Roman"/>
          <w:sz w:val="20"/>
        </w:rPr>
        <w:t xml:space="preserve">(iii) in any other manner that would cause or result in a violation of any Anti-Corruption Laws, Anti-Money Laundering Laws, or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(v) The Company Parties and their respective subsidiaries have conducted and will conduct their businesses in compliance with Sanctions, and no investigation, inquiry, action, suit or proceeding by or before any court or governmental agency, authority or body or any arbitrator involving any of the Company Parties or any of their respective subsidiaries with respect to the Anti-Corruption Laws, the Anti-Money Laundering Laws or Sanctions is pending or, to the knowledge of the Company Parties, threatened. The Company Parties and their respective subsidiaries and controlled affiliates have instituted and maintained and will continue to maintain policies and procedures reasonably designed to promote and achieve compliance with the Anti-Corruption Laws, the Anti-Money Laundering Laws, Sanctions, and with the representations and warranties contained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 None of the Company or any of its subsidiaries or its controlled affiliates is a “covered foreign person” within the meaning of the investment regulations of the United States Department of the Treasury found at 31 C.F.R. Part 850 (the “</w:t>
      </w:r>
      <w:r>
        <w:rPr>
          <w:rFonts w:ascii="Times New Roman" w:hAnsi="Times New Roman"/>
          <w:b/>
          <w:sz w:val="20"/>
        </w:rPr>
        <w:t>Outbound Investment Rules</w:t>
      </w:r>
      <w:r>
        <w:rPr>
          <w:rFonts w:ascii="Times New Roman" w:hAnsi="Times New Roman"/>
          <w:sz w:val="20"/>
        </w:rPr>
        <w:t xml:space="preserve">”). To the Company’s knowledge, it is not engaged in transactions that would require notification or be prohibited under the applicable Outbound Investment Rules. </w:t>
      </w:r>
    </w:p>
    <w:p>
      <w:pPr>
        <w:pStyle w:val="TextBody"/>
        <w:bidi w:val="0"/>
        <w:spacing w:before="120" w:after="0"/>
        <w:jc w:val="left"/>
        <w:rPr>
          <w:rFonts w:ascii="Times New Roman" w:hAnsi="Times New Roman"/>
          <w:sz w:val="20"/>
        </w:rPr>
      </w:pPr>
      <w:r>
        <w:rPr>
          <w:rFonts w:ascii="Times New Roman" w:hAnsi="Times New Roman"/>
          <w:sz w:val="20"/>
        </w:rPr>
        <w:t xml:space="preserve">(x) The Company Parties and each of their respective subsidiaries have good and marketable title to all real property owned by them which is material to the business of the Company Parties and their respective subsidiaries and good and marketable title to all other property (other than with respect to intellectual property, which is addressed exclusively in Section 1(y)) owned by them which is material to the business of the Company Parties and their respective subsidiaries, in each case free and clear of all mortgages, pledges, liens, security interests, claims, restrictions, encumbrances and defects except such as (i) are described in the Time of Sale Prospectus and the Prospectus, (ii) do not materially affect the value of such property and do not materially interfere with the use made and proposed to be made of such property by the Company Parties and their respective subsidiaries or (iii) could not reasonably be expected to have a Material Adverse Effect; and any real property and buildings held under lease by the Company Parties and their respective subsidiaries are held by them under valid, subsisting and enforceable leases, with such exceptions as are not material and do not materially interfere with the use made and proposed to be made of such property and buildings by the Company and its subsidiaries, taken as a whole (subject to the effects of (x) bankruptcy, insolvency, fraudulent conveyance, fraudulent transfer, reorganization, moratorium or other similar laws relating to or affecting the rights or remedies of creditors generally, (y) the application of general principles of equity (including, without limitation concepts of materiality, reasonableness, good faith and fair dealing, regardless of whether enforcement is considered in proceedings at law or in equity) and (z) applicable law and public policy with respect to rights to indemnity and contribution). </w:t>
      </w:r>
    </w:p>
    <w:p>
      <w:pPr>
        <w:pStyle w:val="TextBody"/>
        <w:bidi w:val="0"/>
        <w:spacing w:before="120" w:after="0"/>
        <w:jc w:val="left"/>
        <w:rPr>
          <w:rFonts w:ascii="Times New Roman" w:hAnsi="Times New Roman"/>
          <w:sz w:val="20"/>
        </w:rPr>
      </w:pPr>
      <w:r>
        <w:rPr>
          <w:rFonts w:ascii="Times New Roman" w:hAnsi="Times New Roman"/>
          <w:sz w:val="20"/>
        </w:rPr>
        <w:t>(y) (i) The Company Parties and their respective subsidiaries own or have a right to use all patents, inventions, copyrights (including rights in software), know how (including trade secrets and other unpatented and/or unpatentable proprietary or confidential information, systems or procedures), domain names, trademarks, service marks, trade names, and any applications or registrations for any of the foregoing, together with the goodwill associated with any of the foregoing, and other intellectual property (collectively, “</w:t>
      </w:r>
      <w:r>
        <w:rPr>
          <w:rFonts w:ascii="Times New Roman" w:hAnsi="Times New Roman"/>
          <w:b/>
          <w:sz w:val="20"/>
        </w:rPr>
        <w:t>Intellectual Property Rights</w:t>
      </w:r>
      <w:r>
        <w:rPr>
          <w:rFonts w:ascii="Times New Roman" w:hAnsi="Times New Roman"/>
          <w:sz w:val="20"/>
        </w:rPr>
        <w:t>”) used in or reasonably necessary to the conduct of their businesses as currently conducted (“</w:t>
      </w:r>
      <w:r>
        <w:rPr>
          <w:rFonts w:ascii="Times New Roman" w:hAnsi="Times New Roman"/>
          <w:b/>
          <w:sz w:val="20"/>
        </w:rPr>
        <w:t>Company IP</w:t>
      </w:r>
      <w:r>
        <w:rPr>
          <w:rFonts w:ascii="Times New Roman" w:hAnsi="Times New Roman"/>
          <w:sz w:val="20"/>
        </w:rPr>
        <w:t xml:space="preserve">”), (ii) the Intellectual Property Rights owned by the Company Parties or any of their respective subsidiaries are valid, subsisting and, to the Company’s knowledge, enforceable, and there is no pending or, to the Company’s knowledge, threatened action, suit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before any governmental authority by others against any Company Party challenging the validity or enforceability of any Company IP owned by any Company Party and their respective subsidiaries, except for office actions or similar communications in connection with the prosecution of any such Intellectual Property Rights, (iii) there is no pending or, to the Company’s knowledge, threatened action, suit or proceeding before any governmental authority by others against any of the Company Parties nor any of their respective subsidiaries alleging any infringement, misappropriation or other violation of Intellectual Property Rights by any Company Party or any of their respective subsidiaries, (iv) to the Company’s knowledge, no third party is infringing, misappropriating or otherwise violating, or has, in the last two (2) years, infringed, misappropriated or otherwise violated, any Company IP owned by any Company Party or any of their respective subsidiaries, (v) to the Company’s knowledge, none of the Company Parties nor any of their respective subsidiaries infringes, misappropriates or otherwise violates, or, in the last two (2) years has infringed, misappropriated or otherwise violated, any Intellectual Property Rights of a third party, (vi) all employees and contractors engaged in, or that may engage in, the development of Intellectual Property Rights on behalf of the Company Parties or any of their respective subsidiaries have executed an assignment agreement whereby such employees or contractors assign all of their right, title and interest in and to such Intellectual Property Rights to the Company Parties or their applicable subsidiary, and to the Company’s knowledge no such agreement has been breached or violated in any material respect, and (vii) the Company Parties and their respective subsidiaries take, and have taken, commercially reasonable efforts designed to maintain and protect the confidentiality of all information intended to be maintained as confidential, including any trade secrets and other material confidential Intellectual Property Rights; except, in each case with respect to the foregoing clauses (i) through (vii),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(z) With respect to artificial intelligence, advanced machine learning or other similar generative models (collectively, “</w:t>
      </w:r>
      <w:r>
        <w:rPr>
          <w:rFonts w:ascii="Times New Roman" w:hAnsi="Times New Roman"/>
          <w:b/>
          <w:sz w:val="20"/>
        </w:rPr>
        <w:t>AI Tools</w:t>
      </w:r>
      <w:r>
        <w:rPr>
          <w:rFonts w:ascii="Times New Roman" w:hAnsi="Times New Roman"/>
          <w:sz w:val="20"/>
        </w:rPr>
        <w:t xml:space="preserve">”), the Company Parties and their respective subsidiaries (i) use AI Tools in compliance in all material respects with all applicable license terms and laws; (ii) to the Company’s knowledge, have not used AI Tools in a manner that materially and adversely affects the validity or enforceability of any Company IP owned by any Company Party; and (iii) to the Company’s knowledge, have not knowingly disclosed, in the last two (2) years, any material trade secrets or material confidential or proprietary information in any prompts or inputs into any AI Tools other than AI Tools subject to written terms that restrict the applicable AI Tool’s provider’s right to train its models on such inputs, except, in each case with respect to the foregoing clauses (i) through (iii), as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(aa) (i) None of the Company Parties nor any of their respective subsidiaries develop, use or have developed, distribute or have used or have distributed any software or other materials under a “free,” “open source,” or similar licensing model (including but not limited to the MIT License, Apache License, GNU General Public License, GNU Lesser General Public License and GNU Affero General Public License) (“</w:t>
      </w:r>
      <w:r>
        <w:rPr>
          <w:rFonts w:ascii="Times New Roman" w:hAnsi="Times New Roman"/>
          <w:b/>
          <w:sz w:val="20"/>
        </w:rPr>
        <w:t>Open Source Software</w:t>
      </w:r>
      <w:r>
        <w:rPr>
          <w:rFonts w:ascii="Times New Roman" w:hAnsi="Times New Roman"/>
          <w:sz w:val="20"/>
        </w:rPr>
        <w:t xml:space="preserve">”) in any manner that requires (A) the Company Parties or any of their respective subsidiaries to permit reverse engineering of any software code or other technology owned by the Company Parties or any of their respective subsidiaries or (B) any software code or other technology owned by the Company Parties or any of their respective subsidiaries to be (1) disclosed, delivered, licensed, distributed or otherwise made available to any other person in source code form, (2) licensed for the purpose of making derivative works or (3) redistributed at no charge; except, in each case with respect to the foregoing clauses (A) or (B), as would not, individually or in the aggregate, reasonably be expected to have a Material Adverse Effect. None of the material software owned by the Company Parties or their respective subsidiaries is subject to any source code escrow obligation against any Company Party or their respective subsidiaries. </w:t>
      </w:r>
    </w:p>
    <w:p>
      <w:pPr>
        <w:pStyle w:val="TextBody"/>
        <w:bidi w:val="0"/>
        <w:spacing w:before="120" w:after="0"/>
        <w:jc w:val="left"/>
        <w:rPr>
          <w:rFonts w:ascii="Times New Roman" w:hAnsi="Times New Roman"/>
          <w:sz w:val="20"/>
        </w:rPr>
      </w:pPr>
      <w:r>
        <w:rPr>
          <w:rFonts w:ascii="Times New Roman" w:hAnsi="Times New Roman"/>
          <w:sz w:val="20"/>
        </w:rPr>
        <w:t>(bb) (i) Each of the Company Parties and their subsidiaries have, in the last two (2) years, complied and are presently in compliance in all material respects with all of its internal and external privacy policies, contractual obligations, applicable laws, statutes, and regulations of any governmental or governmental regulatory authority and any other legal obligations, in each case, relating to the collection, use, transfer, process, handling, analysis, import, export, storage, protection, disposal or disclosure by the Company Parties or any of their respective subsidiaries of personal or personally identifiable (“</w:t>
      </w:r>
      <w:r>
        <w:rPr>
          <w:rFonts w:ascii="Times New Roman" w:hAnsi="Times New Roman"/>
          <w:b/>
          <w:sz w:val="20"/>
        </w:rPr>
        <w:t>Data Security Obligations</w:t>
      </w:r>
      <w:r>
        <w:rPr>
          <w:rFonts w:ascii="Times New Roman" w:hAnsi="Times New Roman"/>
          <w:sz w:val="20"/>
        </w:rPr>
        <w:t>,” and such data, “</w:t>
      </w:r>
      <w:r>
        <w:rPr>
          <w:rFonts w:ascii="Times New Roman" w:hAnsi="Times New Roman"/>
          <w:b/>
          <w:sz w:val="20"/>
        </w:rPr>
        <w:t>Data</w:t>
      </w:r>
      <w:r>
        <w:rPr>
          <w:rFonts w:ascii="Times New Roman" w:hAnsi="Times New Roman"/>
          <w:sz w:val="20"/>
        </w:rPr>
        <w:t xml:space="preserve">”); (ii) in the last two (2) years, none of the Company Parties nor their respective subsidiaries have received any written notification of, or written complaint regarding from any governmental authority, non-compliance with any Data Security Obligation that has not been resolved; (iii) there is no pending action, suit or proceeding, or, to the Company’s knowledge, investigation, by or before any court or governmental agency, authority or body threatened alleging non-compliance with any Data Security Obligation; and (iv) in the last twelve (12) months, the Company Parties and their respective subsidiaries have not been required by applicable law to notify any individual or data protection authority of any information security breach, compromise or incident involving any Data; except, in each case with respect to the foregoing clauses (i) through (iv),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(i) The Company Parties and each of their respective subsidiaries have taken commercially reasonable technical and organizational measures designed to maintain and protect the information technology systems and Data used in connection with the operation of the Company Parties’ and their respective subsidiaries’ businesses, (ii) without limiting the foregoing, the Company Parties and their respective subsidiaries have established, maintained, implemented and complied with, in all material respects, commercially reasonable information technology, information security, cyber security and data protection controls, policies and procedures, including oversight, access controls, encryption,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technological and physical safeguards and business continuity/disaster recovery and security plans as required by applicable Data Security Obligations (as defined below), that are designed to protect against, detect and prevent breach, destruction, loss, unauthorized distribution, disclosure, use, access, disablement, misappropriation or modification, or other compromise or misuse of or relating to any information technology and computer systems, networks, hardware, software, websites, applications, equipment, technology, databases or Data (including personally identifiable information or protected health information and the data and information of their respective customers, employees, suppliers, vendors and any third party data maintained, processed or stored by the Company Parties and their respective subsidiaries) used in connection with the operation of the Company Parties’ and their subsidiaries’ businesses (“</w:t>
      </w:r>
      <w:r>
        <w:rPr>
          <w:rFonts w:ascii="Times New Roman" w:hAnsi="Times New Roman"/>
          <w:b/>
          <w:sz w:val="20"/>
        </w:rPr>
        <w:t>Breach</w:t>
      </w:r>
      <w:r>
        <w:rPr>
          <w:rFonts w:ascii="Times New Roman" w:hAnsi="Times New Roman"/>
          <w:sz w:val="20"/>
        </w:rPr>
        <w:t xml:space="preserve">”) and (iii) in the last two (2) years and to the Company’s knowledge, there has been no such Breach, and the Company Parties and their respective subsidiaries have not been notified in writing of any such Breach; except, in each case with respect to the foregoing clauses (i) through (iii), as would not, individually or in the aggregate, reasonably be expected to have a Material Adverse Effect. </w:t>
      </w:r>
    </w:p>
    <w:p>
      <w:pPr>
        <w:pStyle w:val="TextBody"/>
        <w:bidi w:val="0"/>
        <w:spacing w:before="120" w:after="0"/>
        <w:jc w:val="left"/>
        <w:rPr/>
      </w:pPr>
      <w:r>
        <w:rPr/>
        <w:t>“</w:t>
      </w:r>
      <w:r>
        <w:rPr>
          <w:rFonts w:ascii="Times New Roman" w:hAnsi="Times New Roman"/>
          <w:b/>
          <w:sz w:val="20"/>
        </w:rPr>
        <w:t>Data Protection Laws</w:t>
      </w:r>
      <w:r>
        <w:rPr>
          <w:rFonts w:ascii="Times New Roman" w:hAnsi="Times New Roman"/>
          <w:sz w:val="20"/>
        </w:rPr>
        <w:t>” means (a) to the extent applicable to the Company Parties, all applicable laws, rules and regulations related to data privacy, data protection or data security (including the Health Insurance Portability and Accountability Act of 1996 (“</w:t>
      </w:r>
      <w:r>
        <w:rPr>
          <w:rFonts w:ascii="Times New Roman" w:hAnsi="Times New Roman"/>
          <w:b/>
          <w:sz w:val="20"/>
        </w:rPr>
        <w:t>HIPAA</w:t>
      </w:r>
      <w:r>
        <w:rPr>
          <w:rFonts w:ascii="Times New Roman" w:hAnsi="Times New Roman"/>
          <w:sz w:val="20"/>
        </w:rPr>
        <w:t>”), Regulation (EU) 2016/679 of the European Parliament and of the Council (General Data Protection Regulation) and any implementation acts related thereto and the California Consumer Privacy Act of 2018 and the California Privacy Rights Act of 2020), and the requirements set forth in regulations by regulatory authorities such as the Food and Drug Administration (the “</w:t>
      </w:r>
      <w:r>
        <w:rPr>
          <w:rFonts w:ascii="Times New Roman" w:hAnsi="Times New Roman"/>
          <w:b/>
          <w:sz w:val="20"/>
        </w:rPr>
        <w:t>FDA</w:t>
      </w:r>
      <w:r>
        <w:rPr>
          <w:rFonts w:ascii="Times New Roman" w:hAnsi="Times New Roman"/>
          <w:sz w:val="20"/>
        </w:rPr>
        <w:t xml:space="preserve">”), Federal Trade Commission, Federal Communications Commission, the U.S. Department of Health and Human Services and applicable European Union data protection authorities, in each case of the foregoing, as amended, replaced or updated from time to time; (b) all current privacy policies of the Company; and (c) all third party privacy policies that the Company is contractually obligated to comply with. </w:t>
      </w:r>
    </w:p>
    <w:p>
      <w:pPr>
        <w:pStyle w:val="TextBody"/>
        <w:bidi w:val="0"/>
        <w:spacing w:before="120" w:after="0"/>
        <w:jc w:val="left"/>
        <w:rPr>
          <w:rFonts w:ascii="Times New Roman" w:hAnsi="Times New Roman"/>
          <w:sz w:val="20"/>
        </w:rPr>
      </w:pPr>
      <w:r>
        <w:rPr>
          <w:rFonts w:ascii="Times New Roman" w:hAnsi="Times New Roman"/>
          <w:sz w:val="20"/>
        </w:rPr>
        <w:t xml:space="preserve">(dd) The Company Parties and their respective subsidiaries have implemented and maintained policies, practices, and procedures to prevent unlawful harassment, discrimination, or retaliation in the workplace and have taken appropriate steps to assure compliance with such policies and procedures, and (i) no material labor dispute with the employees of the Company or any of its subsidiaries exists, or, to the knowledge of the Company, is imminent; (ii) the Company is not aware of any existing, threatened or imminent labor disturbance by the employees of any of its principal vendors, partners or contractors which would, individually or in the aggregate, reasonably be expected to have a Material Adverse Effect; and (iii) the Company Parties and their respective subsidiaries are and have been in material compliance with all applicable laws pertaining to employment and employment practices, wages and hours, terms and conditions of employment, and immigration.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(ee) Except as would not reasonably be expected to have a Material Adverse Effect, (i) the Company Parties and their respective subsidiaries and any “Employee Benefit Plan” (as defined under the Employee Retirement Income Security Act of 1974, as amended, and the regulations and published interpretations thereunder (collectively, “</w:t>
      </w:r>
      <w:r>
        <w:rPr>
          <w:rFonts w:ascii="Times New Roman" w:hAnsi="Times New Roman"/>
          <w:b/>
          <w:sz w:val="20"/>
        </w:rPr>
        <w:t>ERISA</w:t>
      </w:r>
      <w:r>
        <w:rPr>
          <w:rFonts w:ascii="Times New Roman" w:hAnsi="Times New Roman"/>
          <w:sz w:val="20"/>
        </w:rPr>
        <w:t>”)) established or maintained by any of the Company Parties, their subsidiaries or their “ERISA Affiliates” (as defined below) (each, a “</w:t>
      </w:r>
      <w:r>
        <w:rPr>
          <w:rFonts w:ascii="Times New Roman" w:hAnsi="Times New Roman"/>
          <w:b/>
          <w:sz w:val="20"/>
        </w:rPr>
        <w:t>Plan</w:t>
      </w:r>
      <w:r>
        <w:rPr>
          <w:rFonts w:ascii="Times New Roman" w:hAnsi="Times New Roman"/>
          <w:sz w:val="20"/>
        </w:rPr>
        <w:t>”) is and has been operated in compliance with its terms and all applicable laws, including ERISA and the Internal Revenue Code of 1986, as amended, and the regulations and published interpretations thereunder (the “</w:t>
      </w:r>
      <w:r>
        <w:rPr>
          <w:rFonts w:ascii="Times New Roman" w:hAnsi="Times New Roman"/>
          <w:b/>
          <w:sz w:val="20"/>
        </w:rPr>
        <w:t>Code</w:t>
      </w:r>
      <w:r>
        <w:rPr>
          <w:rFonts w:ascii="Times New Roman" w:hAnsi="Times New Roman"/>
          <w:sz w:val="20"/>
        </w:rPr>
        <w:t>”), (ii) no “reportable event” (as defined under ERISA) has occurred or is reasonably expected to occur with respect to any Plan and no Plan, if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on those assumptions used to fund such Plan), (iii) none of the Company Parties, their subsidiaries nor any of their ERISA Affiliates has incurred or reasonably expects to incur any liability under (A) Title IV of ERISA with respect to termination of, or withdrawal from, any Plan, (B) Sections 412 and 430, 4971, 4975 or 4980B of the Code or (C) Sections 302 and 303, 406, 4063 and 4064 of ERISA, (iv) each Plan that is intended to be qualified under Section 401(a) of the Code is so qualified, and nothing has occurred, whether by action or failure to act, that would reasonably be expected to cause the loss of such qualification, (v) there is no pending audit or investigation by the Internal Revenue Service, the U.S. Department of Labor, the Pension Benefit Guaranty Corporation or any other governmental or other regulatory entity or agency with respect to any Plan that could reasonably be expected to result in liability to any of the Company Parties or their respective subsidiaries, and (vi) none of the Company Parties or any of their respective subsidiaries have any “accumulated post-retirement benefit obligations” (within the meaning of Statement of Financial Accounting Standards 106). “</w:t>
      </w:r>
      <w:r>
        <w:rPr>
          <w:rFonts w:ascii="Times New Roman" w:hAnsi="Times New Roman"/>
          <w:b/>
          <w:sz w:val="20"/>
        </w:rPr>
        <w:t>ERISA Affiliate</w:t>
      </w:r>
      <w:r>
        <w:rPr>
          <w:rFonts w:ascii="Times New Roman" w:hAnsi="Times New Roman"/>
          <w:sz w:val="20"/>
        </w:rPr>
        <w:t xml:space="preserve">” means, with respect to the Company or any of its subsidiaries, any member of any group of organizations described in Sections 414(b), (c), (m) or (o) of the Code of which the Company or such subsidiary is a member. </w:t>
      </w:r>
    </w:p>
    <w:p>
      <w:pPr>
        <w:pStyle w:val="TextBody"/>
        <w:bidi w:val="0"/>
        <w:spacing w:before="120" w:after="0"/>
        <w:jc w:val="left"/>
        <w:rPr>
          <w:rFonts w:ascii="Times New Roman" w:hAnsi="Times New Roman"/>
          <w:sz w:val="20"/>
        </w:rPr>
      </w:pPr>
      <w:r>
        <w:rPr>
          <w:rFonts w:ascii="Times New Roman" w:hAnsi="Times New Roman"/>
          <w:sz w:val="20"/>
        </w:rPr>
        <w:t xml:space="preserve">(ff) The Company Parties and each of their respective subsidiaries, taken as a whole, are insured by insurers of recognized financial responsibility against such losses and risks and in such amounts as are, in the reasonable judgment of the Company, prudent and customary in the businesses in which they are engaged; none of the Company Parties or any of their respective subsidiaries has been refused any insurance coverage sought or applied for, except as would not, individually or in the aggregate, reasonably be expected to have a Material Adverse Effect; and none of the Company Parties nor any of their respective subsidiaries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The Company Parties and each of their respective subsidiaries possess all certificates, authorizations and permits issued by the appropriate federal, state or foreign regulatory authorities necessary to conduct their respective businesses, except where the failure to obtain such certificates, authorizations or permits would not, individually or in the aggregate, reasonably be expected to have a Material Adverse Effect, and none of the Company Parties or any of their respective subsidiaries has received any notice of proceedings relating to the revocation or modification of any such certificate, authorization or permit which, individually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(hh) The financial statements of the Company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financial position of the Company as of the dates shown, and such financial statements have been prepared in conformity with generally accepted accounting principles in the United States (“</w:t>
      </w:r>
      <w:r>
        <w:rPr>
          <w:rFonts w:ascii="Times New Roman" w:hAnsi="Times New Roman"/>
          <w:b/>
          <w:sz w:val="20"/>
        </w:rPr>
        <w:t>U.S. GAAP</w:t>
      </w:r>
      <w:r>
        <w:rPr>
          <w:rFonts w:ascii="Times New Roman" w:hAnsi="Times New Roman"/>
          <w:sz w:val="20"/>
        </w:rPr>
        <w:t xml:space="preserve">”) applied on a consistent basis throughout the periods covered thereby except as described therein. The financial statements of ITG Parent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ITG Parent and its consolidated subsidiaries as of the dates shown and its results of operations and cash flows for the periods shown, and such financial statements have been prepared in conformity with U.S. GAAP applied on a consistent basis throughout the periods covered thereby except as described therein. The summary consolidated financial and operating information included in each of the Registration Statement, the Time of Sale Prospectus and the Prospectus present fairly in all material respects the information shown therein and, except for the “non-GAAP financial measures” (as such term is defined by the rules and regulations of the Commission) presented therein, have been compiled on a basis consistent with that of the audited or unaudited, as applicable, financial statements of ITG Parent included therein. All disclosures contained in the Registration Statement, the Time of Sale Prospectus and the Prospectus regarding “non-GAAP financial measures” (as such term is defined by the rules and regulations of the Commission) comply in all material respects with Regulation G under the Exchange Act, and Item 10 of Regulation S-K under the Securities Act, in each case to the extent applicable. The other financial information included in each of the Registration Statement, the Time of Sale Prospectus and the Prospectus has been derived from the accounting records of the ITG Parent and its consolidated subsidiaries and presents fairly in all material respects the information shown thereby. The pro forma financial statements and the related notes thereto included in each of the Registration Statement, the Time of Sale Prospectus and the Prospectus present fairly in all material respects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The statistical, industry-related and market-related data included in each of the Registration Statement, the Time of Sale Prospectus and the Prospectus are based on or derived from sources which the Company Parties reasonably and in good faith believe are reliable and accurate and such data is consistent with the sources from which they are derived, in each case in all material respects. </w:t>
      </w:r>
    </w:p>
    <w:p>
      <w:pPr>
        <w:pStyle w:val="TextBody"/>
        <w:bidi w:val="0"/>
        <w:spacing w:before="120" w:after="0"/>
        <w:jc w:val="left"/>
        <w:rPr>
          <w:rFonts w:ascii="Times New Roman" w:hAnsi="Times New Roman"/>
          <w:sz w:val="20"/>
        </w:rPr>
      </w:pPr>
      <w:r>
        <w:rPr>
          <w:rFonts w:ascii="Times New Roman" w:hAnsi="Times New Roman"/>
          <w:sz w:val="20"/>
        </w:rPr>
        <w:t>(ii) The Company has taken all necessary actions to ensure that, upon and at all times after the effectiveness of the Registration Statement, the Company and its subsidiaries and their respective officers and directors, in their capacities as such, will be in compliance in all material respects with the applicable provisions of the Sarbanes-Oxley Act of 2002 (the “</w:t>
      </w:r>
      <w:r>
        <w:rPr>
          <w:rFonts w:ascii="Times New Roman" w:hAnsi="Times New Roman"/>
          <w:b/>
          <w:sz w:val="20"/>
        </w:rPr>
        <w:t>Sarbanes-Oxley Act</w:t>
      </w:r>
      <w:r>
        <w:rPr>
          <w:rFonts w:ascii="Times New Roman" w:hAnsi="Times New Roman"/>
          <w:sz w:val="20"/>
        </w:rPr>
        <w:t xml:space="preserve">”) and the rules and regulations promulgated thereunder (it being understood that this Section 1(ii) shall not require the Company to comply with Section 404 of the Sarbanes-Oxley Act, and the rules and regulations promulgated thereunder as of an earlier date than it would otherwise be required to so comply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(jj) (i) RSM US LLP, who have certified certain financial statements of ITG Parent and delivered with respect to such audited financial statements and schedules filed with the Commission as part of the Registration Statement and included in each of the Registration Statement, the Time of Sale Prospectus and the Prospectus, were, at the time of such audit, an independent registered public accounting firm with respect to ITG Parent within the meaning of the Securities Act and the applicable rules and regulations thereunder adopted by the Commission and the Public Company Accounting Oversight Board (United States); and (ii) Grant Thornton LLP, who have certified certain financial statements of the Company Parties and their respective subsidiaries and delivered their reports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Parties within the meaning of the Securities Act and the applicable rules and regulations thereunder adopted by the Commission and the Public Company Accounting Oversight Board (United States). </w:t>
      </w:r>
    </w:p>
    <w:p>
      <w:pPr>
        <w:pStyle w:val="TextBody"/>
        <w:bidi w:val="0"/>
        <w:spacing w:before="120" w:after="0"/>
        <w:jc w:val="left"/>
        <w:rPr>
          <w:rFonts w:ascii="Times New Roman" w:hAnsi="Times New Roman"/>
          <w:sz w:val="20"/>
        </w:rPr>
      </w:pPr>
      <w:r>
        <w:rPr>
          <w:rFonts w:ascii="Times New Roman" w:hAnsi="Times New Roman"/>
          <w:sz w:val="20"/>
        </w:rPr>
        <w:t xml:space="preserve">(kk) The Company Parties and their respective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management’s general or specific authorization, and (iv) the recorded accountability for assets is compared with the existing assets at reasonable intervals and appropriate action is taken with respect to any differences. Since the end of the Company Parties’ most recent audited fiscal year, there has been (A) no material weakness in any of the Company Parties’ internal control over financial reporting (whether or not remediated) and (B) no change in the Company Parties’ internal control over financial reporting that has materially affected, or is reasonably likely to materially affect, such Company Party’s internal control over financial reporting (it being understood that this Section 1(kk) shall not require the Company to comply with Section 404 of the Sarbanes-Oxley Act, and the rules and regulations promulgated thereunder as of an earlier date than it would otherwise be required to so comply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(ll) The Company has not sold, issued or distributed any shares of Class A Common Stock during the six-month period preceding the date hereof, including any sales pursuant to Rule 144A under, or Regulation D or S of, the Securities Act, other than shares issued pursuant to employee benefit plans, equity incentive plans or other employee or director compensation plans or pursuant to outstanding options, rights or warrants, or as otherwise described in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(mm) 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(nn) No consent, approval, authorization or order of, or qualification with, any governmental body or agency, other than those obtained, is required in connection with the offering of the Directed Shares in any jurisdiction where the Directed Shares are being offered. </w:t>
      </w:r>
    </w:p>
    <w:p>
      <w:pPr>
        <w:pStyle w:val="TextBody"/>
        <w:bidi w:val="0"/>
        <w:spacing w:before="120" w:after="0"/>
        <w:jc w:val="left"/>
        <w:rPr>
          <w:rFonts w:ascii="Times New Roman" w:hAnsi="Times New Roman"/>
          <w:sz w:val="20"/>
        </w:rPr>
      </w:pPr>
      <w:r>
        <w:rPr>
          <w:rFonts w:ascii="Times New Roman" w:hAnsi="Times New Roman"/>
          <w:sz w:val="20"/>
        </w:rPr>
        <w:t xml:space="preserve">(oo) The Company has not offered, or caused Morgan Stanley or any Morgan Stanley Entity as defined in Section 10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 </w:t>
      </w:r>
    </w:p>
    <w:p>
      <w:pPr>
        <w:pStyle w:val="TextBody"/>
        <w:bidi w:val="0"/>
        <w:spacing w:before="120" w:after="0"/>
        <w:jc w:val="left"/>
        <w:rPr>
          <w:rFonts w:ascii="Times New Roman" w:hAnsi="Times New Roman"/>
          <w:sz w:val="20"/>
        </w:rPr>
      </w:pPr>
      <w:r>
        <w:rPr>
          <w:rFonts w:ascii="Times New Roman" w:hAnsi="Times New Roman"/>
          <w:sz w:val="20"/>
        </w:rPr>
        <w:t xml:space="preserve">(pp) The Company and each of its subsidiaries have filed all federal, state, local and foreign tax returns required by law to be filed through the date of this Agreement or have requested extensions thereof (except where the failure to file would not, individually or in the aggregate, reasonably be expected to have a Material Adverse Effect) and have paid all taxes required to be paid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for cases in which the failure to file or pay would not, individually or in the aggregate, reasonably be expected to have a Material Adverse Effect, or, except as currently being contested in good faith and for which reserves required by U.S. GAAP have been created in the financial statements of the Company), and no unpaid tax deficiency has been determined adversely to the Company or any of its subsidiaries which, individually or in the aggregate, has had (nor does the Company nor any of its subsidiaries have any written notice or knowledge of any tax deficiency which could reasonably be expected to be determined adversely to the Company or its subsidiaries and which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(qq) From the time of initial confidential submission of the Registration Statement to the Commission through the date hereof, the Company has been and is an “emerging growth company,” as defined in Section 2(a) of the Securities Act (an “</w:t>
      </w:r>
      <w:r>
        <w:rPr>
          <w:rFonts w:ascii="Times New Roman" w:hAnsi="Times New Roman"/>
          <w:b/>
          <w:sz w:val="20"/>
        </w:rPr>
        <w:t>Emerging Growth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(rr) 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each of the Representatives have been authorized to act on its behalf in undertaking Testing-the-Waters Communications. The Company has not distributed any Written Testing-the-Waters Communication other than those listed on Schedule III hereto. “</w:t>
      </w:r>
      <w:r>
        <w:rPr>
          <w:rFonts w:ascii="Times New Roman" w:hAnsi="Times New Roman"/>
          <w:b/>
          <w:sz w:val="20"/>
        </w:rPr>
        <w:t>Written Testing-the-Waters Communication</w:t>
      </w:r>
      <w:r>
        <w:rPr>
          <w:rFonts w:ascii="Times New Roman" w:hAnsi="Times New Roman"/>
          <w:sz w:val="20"/>
        </w:rPr>
        <w:t>” means any Testing-the-Waters Communication that is a written communication within the meaning of Rule 405 under the Securities Act. “</w:t>
      </w:r>
      <w:r>
        <w:rPr>
          <w:rFonts w:ascii="Times New Roman" w:hAnsi="Times New Roman"/>
          <w:b/>
          <w:sz w:val="20"/>
        </w:rPr>
        <w:t>Testing-the-Waters Communication</w:t>
      </w:r>
      <w:r>
        <w:rPr>
          <w:rFonts w:ascii="Times New Roman" w:hAnsi="Times New Roman"/>
          <w:sz w:val="20"/>
        </w:rPr>
        <w:t xml:space="preserve">” means any communication with potential investors undertaken in reliance on Section 5(d) or Rule 163B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(ss)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Agreements to Sell and Purchase</w:t>
      </w:r>
      <w:r>
        <w:rPr>
          <w:rFonts w:ascii="Times New Roman" w:hAnsi="Times New Roman"/>
          <w:sz w:val="20"/>
        </w:rPr>
        <w:t>. The Company hereby agrees to sell to the several Underwriters, and each Underwriter, upon the basis of the representations and warranties herein contained, but subject to the terms and conditions hereinafter stated, agrees, severally and not jointly, to purchase from the Company the respective numbers of Firm Shares set forth in Schedule I hereto opposite its name at $15.08 a share (the “</w:t>
      </w:r>
      <w:r>
        <w:rPr>
          <w:rFonts w:ascii="Times New Roman" w:hAnsi="Times New Roman"/>
          <w:b/>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2,926,829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Additional Shares are to be purchased. Each purchase date must be at least one business day after the written notice is given and may not be earlier than the closing date for the Firm Shares or later than ten business days after the date of such notice. As used herein, “business day” means a day on which the Nasdaq Global Select Market is open for trading and on which banks in New York are open for business and are not permitted by law or executive order to be closed. 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The Company is advised by the Representatives that the Underwriters propose to make a public offering of their respective portions of the Shares as soon after the Registration Statement and this Agreement have become effective as in the Representatives’ judgment is advisable. The Company is further advised by the Representatives that the Shares are to be offered to the public initially at $16.00 a share (the “</w:t>
      </w:r>
      <w:r>
        <w:rPr>
          <w:rFonts w:ascii="Times New Roman" w:hAnsi="Times New Roman"/>
          <w:b/>
          <w:sz w:val="20"/>
        </w:rPr>
        <w:t>Public Offering Price</w:t>
      </w:r>
      <w:r>
        <w:rPr>
          <w:rFonts w:ascii="Times New Roman" w:hAnsi="Times New Roman"/>
          <w:sz w:val="20"/>
        </w:rPr>
        <w:t xml:space="preserve">”) and to certain dealers selected by the Representatives at a price that represents a concession not in excess of $0.552 a share under the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Payment and Delivery</w:t>
      </w:r>
      <w:r>
        <w:rPr>
          <w:rFonts w:ascii="Times New Roman" w:hAnsi="Times New Roman"/>
          <w:sz w:val="20"/>
        </w:rPr>
        <w:t>. Payment for the Firm Shares shall be made to the Company in Federal or other funds immediately available in New York City against delivery of such Firm Shares for the respective accounts of the several Underwriters at 10:00 a.m., New York City time, on July 2, 2026, or at such other time on the same or such other date, not later than July 10, 2026, as shall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for any Additional Shares to be sold by the Company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ten business days after the date of such notice, as shall be designated in writing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obligations of the Company to sell the Shares to the Underwriters and the several obligations of the Underwriters to purchase and pay for the Shares on the Closing Date are subject to the condition that the Registration Statement shall have become effective not later than 4:30 p.m. (New York City time)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The several obligations of the Underwriters are subject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no proceeding for such purpose or pursuant to Section 8A under the Securities Act shall be pending before or, to the knowledge of the Company, threatened by the Commission; and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Parties or any of their respective subsidiaries by any “nationally recognized statistical rating organization,” as such term is defined in Section 3(a)(62)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there shall not have occurred any change, or any development involving a prospective change, in the condition, financial or otherwise, or in the earnings, business or operations of the Company Parties and their respective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each of the Company Parties, to the effect set forth in Section 5(a) above and to the effect that the representations and warranties of such Company Party contained in this Agreement are true and correct as of the Closing Date and that such Company Party has complied with all of the agreements and satisfied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officers signing and delivering such certificates may rely upon the best of their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Underwriters shall have received on each of the date hereof and the Closing Date, a Chief Financial Officer’s certificate dated the date hereof or the Closing Date, as the case may be, with respect to certain financial data contained in the Prospectus and signed on behalf of the Company by the Chief Financial Officer of the Company,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and negative assurance letter of Kirkland &amp; Ellis LLP, outside counsel for the Company Parties,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(e) The Underwriters shall have received on the Closing Date an opinion of Weil, Gotshal &amp; Manges LLP, outside counsel for the Company Parties,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the Closing Date an opinion and negative assurance letter of Latham &amp; Watkins LLP, counsel for the Underwriters, dated the Closing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negative assurance letters to be delivered pursuant to Sections 5(d) and 5(f) above, Kirkland &amp; Ellis LLP and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of Kirkland &amp; Ellis LLP and Weil, Gotshal &amp; Manges LLP described in Sections 5(d) and 5(e) above shall be rendered to the Underwriters at the request of the Company and shall so state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Underwriters shall have received, on each of the date hereof and the Closing Date, a letter dated the date hereof or the Closing Date, as the case may be, in form and substance reasonably satisfactory to the Representatives, from each of Grant Thornton LLP and RSM US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each letter delivered on the Closing Date shall use a “cut-off date” not earlier than two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(h) The “lock up” agreements, each substantially in the form of Exhibit A hereto, between the Representatives and certain securityholders, officers and directors of the Company listed in </w:t>
      </w:r>
      <w:r>
        <w:rPr>
          <w:rFonts w:ascii="Times New Roman" w:hAnsi="Times New Roman"/>
          <w:sz w:val="20"/>
          <w:u w:val="single"/>
        </w:rPr>
        <w:t>Schedule IV</w:t>
      </w:r>
      <w:r>
        <w:rPr>
          <w:rFonts w:ascii="Times New Roman" w:hAnsi="Times New Roman"/>
          <w:sz w:val="20"/>
        </w:rPr>
        <w:t xml:space="preserve"> of this Agreement relating to restrictions on sales and certain other dispositions of or activities in respect of shares of Common Stock or certain other securities, delivered to the Representatives on or before the date hereof (the “</w:t>
      </w:r>
      <w:r>
        <w:rPr>
          <w:rFonts w:ascii="Times New Roman" w:hAnsi="Times New Roman"/>
          <w:b/>
          <w:sz w:val="20"/>
        </w:rPr>
        <w:t>Lock-up Agreements</w:t>
      </w:r>
      <w:r>
        <w:rPr>
          <w:rFonts w:ascii="Times New Roman" w:hAnsi="Times New Roman"/>
          <w:sz w:val="20"/>
        </w:rPr>
        <w:t xml:space="preserve">”), shall be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Shares shall have been approved for listing on Nasdaq Global Select Market, subject only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(j) The several obligations of the Underwriters to purchase Additional Shares hereunder are subject to the delivery to the Representatives on the applicable Option Closing Date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confirming that the certificate delivered on the Closing Date pursuant to Section 5(b) hereof remains true and correct in all material respects (except for representations and warranties that are qualified by materiality, which shall be true and correct in all respects) as of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 certificate, dated the Option Closing Date and signed on behalf of the Company by the Chief Financial Officer of the Company confirming that the certificate delivered on the Closing Date pursuant to Section 5(c) hereof remains true and correct in all material respects as of such Option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(iii) an opinion and negative assurance letter of Kirkland &amp; Ellis LLP, outside counsel for the Company Parties, dated the Option Closing Date, relating to the Additional Shares to be purchased on such Option Closing Date and otherwise to the same effect as the opinion required by Section 5(d)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 opinion and negative assurance letter of Latham &amp; Watkins LLP, counsel for the Underwriters, dated the Option Closing Date, relating to the Additional Shares to be purchased on such Option Closing Date and otherwise to the same effect as the opinion required by Section 5(f) hereof; </w:t>
      </w:r>
    </w:p>
    <w:p>
      <w:pPr>
        <w:pStyle w:val="TextBody"/>
        <w:bidi w:val="0"/>
        <w:spacing w:before="120" w:after="0"/>
        <w:jc w:val="left"/>
        <w:rPr>
          <w:rFonts w:ascii="Times New Roman" w:hAnsi="Times New Roman"/>
          <w:sz w:val="20"/>
        </w:rPr>
      </w:pPr>
      <w:r>
        <w:rPr>
          <w:rFonts w:ascii="Times New Roman" w:hAnsi="Times New Roman"/>
          <w:sz w:val="20"/>
        </w:rPr>
        <w:t xml:space="preserve">(v) a letter dated the Option Closing Date, in form and substance satisfactory to the Underwriters, from each of Grant Thornton LLP and RSM US LLP, independent public accountants, substantially in the same form and substance as the letter furnished to the Underwriters pursuant to Section 5(g) hereof; </w:t>
      </w:r>
      <w:r>
        <w:rPr>
          <w:rFonts w:ascii="Times New Roman" w:hAnsi="Times New Roman"/>
          <w:i/>
          <w:sz w:val="20"/>
        </w:rPr>
        <w:t>provided</w:t>
      </w:r>
      <w:r>
        <w:rPr>
          <w:rFonts w:ascii="Times New Roman" w:hAnsi="Times New Roman"/>
          <w:sz w:val="20"/>
        </w:rPr>
        <w:t xml:space="preserve"> that the letter delivered on the Option Closing Date shall use a “cut-off date” not earlier than two business days prior to such Option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 such other documents as the Representatives may reasonably request with respect to the good standing of the Company and the due authorization and issuance of the Additional Shares to be sold on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negative assurance letters to be delivered pursuant to Sections 5(j)(iii) and 5(j)(iv) above, Kirkland &amp; Ellis LLP and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t>
      </w:r>
    </w:p>
    <w:p>
      <w:pPr>
        <w:pStyle w:val="TextBody"/>
        <w:bidi w:val="0"/>
        <w:spacing w:before="120" w:after="0"/>
        <w:jc w:val="left"/>
        <w:rPr>
          <w:rFonts w:ascii="Times New Roman" w:hAnsi="Times New Roman"/>
          <w:sz w:val="20"/>
        </w:rPr>
      </w:pPr>
      <w:r>
        <w:rPr>
          <w:rFonts w:ascii="Times New Roman" w:hAnsi="Times New Roman"/>
          <w:sz w:val="20"/>
        </w:rPr>
        <w:t xml:space="preserve">The opinions of Kirkland &amp; Ellis LLP described in Section 5(j)(iii) above shall be rendered to the Underwriters at the request of the Company and shall so state therein.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 Parties</w:t>
      </w:r>
      <w:r>
        <w:rPr>
          <w:rFonts w:ascii="Times New Roman" w:hAnsi="Times New Roman"/>
          <w:sz w:val="20"/>
        </w:rPr>
        <w:t xml:space="preserve">. Each Company Party, jointly and severally,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Representatives, without charge, fifteen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on behalf of, used by, or referred to by any Company Party and not to use or refer to any proposed free writing prospectus to which the Representatives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Shares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To endeavor to qualify the Shares for offer and sale under the securities or Blue Sky laws of such jurisdictions as the Representatives shall reasonably request; provided that in no event shall the Company be obligated to qualify to do business in any jurisdiction where it is not now so qualified or to qualify as a dealer in securities in any jurisdiction or to file any general consent to service of process in any jurisdiction, or that would subject it to taxation in any jurisdiction where it is not now so subject.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(which may be satisfied by filing with the Commission on its Electronic Data Gathering, Analysis and Retrieval System) to the Company’s security holders and to the Representatives as soon as practicable an earnings statement (which need not be audited)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To comply with all applicable securities and other laws, rules and regulations in each jurisdiction in which the Directed Shares are offered in connection with the Directed Share Program; provided that in no event shall the Company be obligated to qualify to do business in any jurisdiction where it is not now so qualified or to qualify as a dealer in securities in any jurisdiction or to file any general consent to service of process in any jurisdiction, or that would subject it to taxation in any jurisdiction where it is not now so subject. </w:t>
      </w:r>
    </w:p>
    <w:p>
      <w:pPr>
        <w:pStyle w:val="TextBody"/>
        <w:bidi w:val="0"/>
        <w:spacing w:before="120" w:after="0"/>
        <w:jc w:val="left"/>
        <w:rPr>
          <w:rFonts w:ascii="Times New Roman" w:hAnsi="Times New Roman"/>
          <w:sz w:val="20"/>
        </w:rPr>
      </w:pPr>
      <w:r>
        <w:rPr>
          <w:rFonts w:ascii="Times New Roman" w:hAnsi="Times New Roman"/>
          <w:sz w:val="20"/>
        </w:rPr>
        <w:t xml:space="preserve">(j) The Company will promptly notify the Representatives if the Company ceases to be an Emerging Growth Company at any time prior to the later of (i) completion of the distribution of the Shares within the meaning of the Securities Act and (ii) completion of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(k) If at any time following the distribution of any Written Testing-the-Waters Communication there occurred or occurs an event or development as a result of which such Written Testing-the-Waters Communication, as then amended or supplemented,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The Company also covenants with each Underwriter that, without the prior written consent of at least two of Morgan Stanley, Citi and UBS (collectively, the “</w:t>
      </w:r>
      <w:r>
        <w:rPr>
          <w:rFonts w:ascii="Times New Roman" w:hAnsi="Times New Roman"/>
          <w:b/>
          <w:sz w:val="20"/>
        </w:rPr>
        <w:t>Designated Representatives</w:t>
      </w:r>
      <w:r>
        <w:rPr>
          <w:rFonts w:ascii="Times New Roman" w:hAnsi="Times New Roman"/>
          <w:sz w:val="20"/>
        </w:rPr>
        <w:t>”) on behalf of the Underwriters, it will not, and will not publicly disclose an intention to, during the period ending 180 days after the date of the Prospectus (the “</w:t>
      </w:r>
      <w:r>
        <w:rPr>
          <w:rFonts w:ascii="Times New Roman" w:hAnsi="Times New Roman"/>
          <w:b/>
          <w:sz w:val="20"/>
        </w:rPr>
        <w:t>Restricted Period</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(2) enter into any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Class A Common Stock, whether any such transaction described in clause 1 or 2 above is to be settled by delivery of Class A Common Stock or such other securities, in cash or otherwise, or (3) file any registration statement with the Commission relating to the offering of any shares of Class A Common Stock or any securities convertible into or exercisable or exchangeable for Class A Common Stock. Notwithstanding anything to the contrary contained herein, if (a) at least 150 days have elapsed since the date of the Prospectus and (b) the Restricted Period is scheduled to end during, or within five Trading Days of, a Blackout Period, then the Restricted Period will end ten calendar days prior to the commencement of such Blackout Period (the “</w:t>
      </w:r>
      <w:r>
        <w:rPr>
          <w:rFonts w:ascii="Times New Roman" w:hAnsi="Times New Roman"/>
          <w:b/>
          <w:sz w:val="20"/>
        </w:rPr>
        <w:t>Conditional Early Release Date</w:t>
      </w:r>
      <w:r>
        <w:rPr>
          <w:rFonts w:ascii="Times New Roman" w:hAnsi="Times New Roman"/>
          <w:sz w:val="20"/>
        </w:rPr>
        <w:t xml:space="preserve">”); provided, however, that promptly upon the Company’s determination of the Conditional Early Release Date and in any event at least five Trading Days in advance of the Conditional Early Release Date, the Company shall notify the Designated Representatives of the date of the impending Conditional Early Release Date, and shall announce the Conditional Early Release Date through a major news service or on a Form 8-K at least two Trading Days in advance of the Conditional Early Release Date. For purposes of this Agreement, a “Trading Day” is a day on which the New York Stock Exchange and the Nasdaq Global Select Market are open for the buying and selling of securities, and “Blackout Period” means a broadly applicable and regularly scheduled period during which trading in the Company’s securities would not be permitted under the Company’s insider trading policy.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contained in the preceding paragraph shall not apply to (A) the Shares to be sold hereunder or the issuance, transfer, redemption or exchange of securities of the Company Parties in connection with the transactions contemplated by this Agreement as described in the Time of Sale Prospectus and the Prospectus, (B) grants of stock options, stock awards, restricted stock, restricted stock units, securities convertible into or exercisable or exchangeable for shares of Class A Common Stock, or other compensatory equity-based awards and the issuance of shares of Class A Common Stock in connection with the exercise, vesting and/or settlement of any of the foregoing to the employees, officers, directors, advisors, or consultants of the Company or any of its subsidiaries pursuant to the terms of an equity compensation plan described in 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the Time of Sale Prospectus and the Prospectus, (C) the issuance by the Company of shares of Class A Common Stock upon the exercise of an option or warrant or the conversion of a security outstanding on the date hereof or the settlement of restricted stock units (including net settlement) as described in each of the Time of Sale Prospectus and Prospectus, (D) the filing by the Company of any registration statement on Form S-8 or amendment thereto relating to securities granted or to be granted pursuant to any plan described in each of the Registration Statement, the Time of Sale Prospectus and the Prospectus or any assumed benefit plan pursuant to an acquisition or similar strategic transaction, (E) shares of Class A Common Stock or any securities convertible into or exercisable or exchangeable for shares of Class A Common Stock, or the entrance into an agreement to issue or sell shares of Class A Common Stock, in connection with any merger, joint venture, strategic alliances, commercial or other collaborative transaction or the acquisition (whether by means of merger, stock or equity purchase, asset purchase or otherwise) or licenses of the business, property, technology or other assets of another individual or entity or the assumption of an employee benefit plan in connection with a merger or acquisition, </w:t>
      </w:r>
      <w:r>
        <w:rPr>
          <w:rFonts w:ascii="Times New Roman" w:hAnsi="Times New Roman"/>
          <w:i/>
          <w:sz w:val="20"/>
        </w:rPr>
        <w:t>provided</w:t>
      </w:r>
      <w:r>
        <w:rPr>
          <w:rFonts w:ascii="Times New Roman" w:hAnsi="Times New Roman"/>
          <w:sz w:val="20"/>
        </w:rPr>
        <w:t xml:space="preserve"> that (i) the aggregate number of shares of Class A Common Stock or any other securities convertible into or exercisable or exchangeable for shares of Class A Common Stock that the Company may issue or sell or agree to issue or sell pursuant to this clause (E) shall not exceed 10% of the total outstanding share capital of the Company immediately following the completion of the transactions contemplated by this Agreement determined on a fully diluted basis and as adjusted for stock splits, stock dividends and other similar events after the date of this Agreement and (ii) the recipients of any such shares of Class A Common Stock and securities issued pursuant to this clause (E) during the Restricted Period shall enter into an agreement substantially in the form of Exhibit A hereto on or prior to such issuance, (F) facilitating the establishment or amendment of a trading plan on behalf of a stockholder, officer or director of the Company or any of its subsidiaries pursuant to Rule 10b5-1 under the Exchange Act for the transfer of shares of Class A Common Stock, </w:t>
      </w:r>
      <w:r>
        <w:rPr>
          <w:rFonts w:ascii="Times New Roman" w:hAnsi="Times New Roman"/>
          <w:i/>
          <w:sz w:val="20"/>
        </w:rPr>
        <w:t>provided</w:t>
      </w:r>
      <w:r>
        <w:rPr>
          <w:rFonts w:ascii="Times New Roman" w:hAnsi="Times New Roman"/>
          <w:sz w:val="20"/>
        </w:rPr>
        <w:t xml:space="preserve"> that (i) such plan does not provide for the transfer of Class A Common Stock during the Restricted Period (except as otherwise permitted under the lock-up agreement entered into by such stockholder, officer or director) and (ii) to the extent a public announcement or filing under the Exchange Act, if any, is required of or voluntarily made by the Company regarding the establishment or amendment of such plan, such announcement or filing shall include a statement to the effect that no transfer of Class A Common Stock may be made under such plan during the Restricted Period, (G) sales of Class A Common Stock on behalf of the employees, officers, directors, advisors, or consultants of the Company or any of its subsidiaries to satisfy the withholding taxes payable upon the exercise, vesting and/or settlement of such employee’s stock options, stock awards, restricted stock, restricted stock units, securities convertible into or exercisable or exchangeable for shares of Class A Common Stock, or other compensatory equity-based awards pursuant to the terms of an equity compensation plan described in each of the Time of Sale Prospectus and the Prospectus, or (H) the confidential submission by the Company of a resale shelf draft registration statement on Form S-1 with the Commission to the extent consistent with the Company’s obligations under the registration rights agreement described in each of the Time of Sale Prospectus and the Prospectus; provided that (i) no public announcement of such confidential submission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made, (ii) if any demand was made for, or any right exercised with respect to, such registration of Shares or securities convertible, exercisable or exchangeable into Shares, no public announcement of such demand or exercise of rights shall be made (iii) the Company shall provide the Representatives with prior written notice of any such confidential submission at least one business day before such submission, or, if prior notice is not reasonably practicable, written notice promptly following such submission and in any event no later than one business day thereafter, and (iv) such notice shall be delivered on a confidential basis and shall specify only the anticipated or actual date of submission and that the submission is being made pursuant to the registration rights agreement described in each of the Time of Sale Prospectus and the Prospectus. If at least two of the Designated Representatives agree to release or waive the restrictions on the transfer of Shares set forth in a Lock-up Agreement for an officer or director of the Company and provide the Company with notice of the impending release or waiver at least three business days before the effective date of the release or waiver substantially in the form of Exhibit B hereto, the Company agrees to announce the impending release or waiver by a press release substantially in the form of Exhibit C hereto through a major news service at least two business days before the effective date of the release or waiver if required by an applicable FINRA rule. </w:t>
      </w:r>
    </w:p>
    <w:p>
      <w:pPr>
        <w:pStyle w:val="TextBody"/>
        <w:bidi w:val="0"/>
        <w:spacing w:before="120" w:after="0"/>
        <w:jc w:val="left"/>
        <w:rPr>
          <w:rFonts w:ascii="Times New Roman" w:hAnsi="Times New Roman"/>
          <w:sz w:val="20"/>
        </w:rPr>
      </w:pPr>
      <w:r>
        <w:rPr>
          <w:rFonts w:ascii="Times New Roman" w:hAnsi="Times New Roman"/>
          <w:sz w:val="20"/>
        </w:rPr>
        <w:t xml:space="preserve">(m) The Company will use reasonable best efforts to effect and maintain the listing of the Shares on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(n) The Company will deliver to each Underwriter (or its agent), prior to or at the Closing Date, a properly completed and executed Internal Revenue Service (“</w:t>
      </w:r>
      <w:r>
        <w:rPr>
          <w:rFonts w:ascii="Times New Roman" w:hAnsi="Times New Roman"/>
          <w:b/>
          <w:sz w:val="20"/>
        </w:rPr>
        <w:t>IRS</w:t>
      </w:r>
      <w:r>
        <w:rPr>
          <w:rFonts w:ascii="Times New Roman" w:hAnsi="Times New Roman"/>
          <w:sz w:val="20"/>
        </w:rPr>
        <w:t xml:space="preserve">”) Form W-9 or an IRS Form W-8, as appropriate, together with all required attachments to such form. </w:t>
      </w:r>
    </w:p>
    <w:p>
      <w:pPr>
        <w:pStyle w:val="TextBody"/>
        <w:bidi w:val="0"/>
        <w:spacing w:before="120" w:after="0"/>
        <w:jc w:val="left"/>
        <w:rPr>
          <w:rFonts w:ascii="Times New Roman" w:hAnsi="Times New Roman"/>
          <w:sz w:val="20"/>
        </w:rPr>
      </w:pPr>
      <w:r>
        <w:rPr>
          <w:rFonts w:ascii="Times New Roman" w:hAnsi="Times New Roman"/>
          <w:sz w:val="20"/>
        </w:rPr>
        <w:t xml:space="preserve">(o)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Expenses</w:t>
      </w:r>
      <w:r>
        <w:rPr>
          <w:rFonts w:ascii="Times New Roman" w:hAnsi="Times New Roman"/>
          <w:sz w:val="20"/>
        </w:rPr>
        <w:t xml:space="preserve">. Whether or not the transactions contemplated by this Agreement are consummated or this Agreement is terminated, the Company agrees to pay or cause to be paid all reasonably incurred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stamp, transfer or other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reasonably incurred fees and disbursements of counsel for the Underwriters in connection with such qualification and in connection with the Blue Sky or Legal Investment memorandum, (iv) all filing fees and the reasonably incurred fees and disbursements of counsel to the Underwriters incurred in connection with the review and qualification of the offering of the Shares by the Financial Industry Regulatory Authority, provided that the aggregate amount payable by the Company with respect to the fees and disbursements of counsel for the Underwriters pursuant to clause (iii) and clause (iv) of this Section 7 shall not exceed $45,000, (v) all fees and expenses in connection with the preparation and filing of the registration statement on Form 8-A relating to the Class A Common Stock and all costs and expenses incident to listing the Shares on the Nasdaq Global Select Market, (vi) the cost of printing certificates representing the Shares, (vii) the costs and charges of any transfer agent, registrar or depositary, (viii) the reasonably incurred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or ground transportation chartered in connection with the road show, provided that the Company shall only be responsible for half of the cost of any aircraft or ground transportation chartered in connection with the road show, if required (with the Underwriters being responsible for the other half of such expenses), (ix) the document production charges and expenses associated with printing this Agreement, (x) all reasonably incurred fees and disbursements of counsel incurred by the Underwriters in connection with the Directed Share Program and stamp duties, similar taxes or duties or other taxes, if any, incurred by the Underwriters in connection with the Directed Share Program and (xi) all other reasonably incurred costs and expenses incident to the performance of the obligations of the Company hereunder for which provision is not otherwise made in this Section 7. It is understood, however, that except as provided in this Section 7, Section 9 entitled “Indemnity and Contribution,” Section 10 entitled “Directed Share Program Indemnification” and the last paragraph of Section 12 below, the Underwriters will pay all of their costs and expenses, including fees and disbursements of their counsel, stock transfer taxes payable on resale of any of the Shares by them and any advertising expenses connected with any offers they may make.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Indemnity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and their respective directors, officers and employees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Written Testing-the-Waters Communication or arise out of, or are based upon, any omission or alleged omission to state therein a material fact required to be stated therein or necessary in order to make the statements made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w:t>
      </w:r>
    </w:p>
    <w:p>
      <w:pPr>
        <w:pStyle w:val="TextBody"/>
        <w:bidi w:val="0"/>
        <w:spacing w:before="12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the Prospectus or any amendment or supplement thereto, or any Written Testing-the-Waters Communication or arise out of, or are based upon, any omission or alleged omission to state therein a material fact required to be stated therein or necessary in order to make the statements made therein not misleading, but only with reference to information relating to such Underwriter furnished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following information in the Prospectus furnished on behalf of each Underwriter: (i) the information concerning selling concessions appearing in the first sentence of the first paragraph under the caption “Commissions and Discounts” in the section entitled “Underwriting (Conflicts of Interest),” (ii) the information concerning stabilization appearing in the second sentence of the sixteenth paragraph, the third and fourth sentence of the seventeenth paragraph, the second sentence of the eighteenth paragraph and the nineteenth paragraph in the section entitled “Underwriting (Conflicts of Interest),” and (iii) the information concerning sales to discretionary accounts appearing in the sole paragraph under the caption “Discretionary Sales” in the section entitled “Underwriting (Conflicts of Interest)” (collectively, the “</w:t>
      </w:r>
      <w:r>
        <w:rPr>
          <w:rFonts w:ascii="Times New Roman" w:hAnsi="Times New Roman"/>
          <w:b/>
          <w:sz w:val="20"/>
        </w:rPr>
        <w:t>Underwriter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9(a) or 9</w:t>
      </w:r>
      <w:r>
        <w:rPr>
          <w:rFonts w:ascii="Times New Roman" w:hAnsi="Times New Roman"/>
          <w:b/>
          <w:sz w:val="20"/>
        </w:rPr>
        <w:t>(b),</w:t>
      </w:r>
      <w:r>
        <w:rPr>
          <w:rFonts w:ascii="Times New Roman" w:hAnsi="Times New Roman"/>
          <w:sz w:val="20"/>
        </w:rPr>
        <w:t xml:space="preserve">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(A)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(B) the fees and expenses of more than one separate firm (in addition to any local counsel) for the Company, the directors of the Company, the officers of the Company who sign the Registration Statement and all persons, if any, who control the Company within the meaning of either Section 15 of the Securities Act or Section 20 of the Exchange Act. Such firm shall be designated in writing by the Representatives, in the case of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pursuant to Section 9(a), and by the Company, in the case of parties indemnified pursuant to Section 9(b). The indemnifying party shall not be liable for any settlement of any proceeding effected without its written consent, but if settled with such consent or if there be a final judgment,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any statement as to or any admission of fault, wrongdoing,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(d) To the extent the indemnification provided for in Section 9(a) or 9</w:t>
      </w:r>
      <w:r>
        <w:rPr>
          <w:rFonts w:ascii="Times New Roman" w:hAnsi="Times New Roman"/>
          <w:b/>
          <w:sz w:val="20"/>
        </w:rPr>
        <w:t>(b)</w:t>
      </w:r>
      <w:r>
        <w:rPr>
          <w:rFonts w:ascii="Times New Roman" w:hAnsi="Times New Roman"/>
          <w:sz w:val="20"/>
        </w:rPr>
        <w:t xml:space="preserve">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(after deducting underwriting commissions and discounts but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9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The indemnity and contribution provisions contained in this Section 9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Directed Share Program Indemnification.</w:t>
      </w:r>
      <w:r>
        <w:rPr>
          <w:rFonts w:ascii="Times New Roman" w:hAnsi="Times New Roman"/>
          <w:sz w:val="20"/>
        </w:rPr>
        <w:t xml:space="preserve"> (a) The Company agrees to indemnify and hold harmless Morgan Stanley, each person, if any, who controls Morgan Stanley within the meaning of either Section 15 of the Securities Act or Section 20 of the Exchange Act and each affiliate of Morgan Stanley within the meaning of Rule 405 of the Securities Act (each a “</w:t>
      </w:r>
      <w:r>
        <w:rPr>
          <w:rFonts w:ascii="Times New Roman" w:hAnsi="Times New Roman"/>
          <w:b/>
          <w:sz w:val="20"/>
        </w:rPr>
        <w:t>Morgan Stanley Entity</w:t>
      </w:r>
      <w:r>
        <w:rPr>
          <w:rFonts w:ascii="Times New Roman" w:hAnsi="Times New Roman"/>
          <w:sz w:val="20"/>
        </w:rPr>
        <w:t>” and collectively, the “</w:t>
      </w:r>
      <w:r>
        <w:rPr>
          <w:rFonts w:ascii="Times New Roman" w:hAnsi="Times New Roman"/>
          <w:b/>
          <w:sz w:val="20"/>
        </w:rPr>
        <w:t>Morgan Stanley Entities</w:t>
      </w:r>
      <w:r>
        <w:rPr>
          <w:rFonts w:ascii="Times New Roman" w:hAnsi="Times New Roman"/>
          <w:sz w:val="20"/>
        </w:rPr>
        <w:t xml:space="preserve">”) from and against any and all losses, claims, damages and liabilities (including, without limitation, any legal or other expenses reasonably incurred in connection with defending or investigating any such action or claim) (i) that arise out of, or are based upon, any untrue statement or alleged untrue statement of a material 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contained in any material prepared by or with the consent of the Company for distribution to Participants in connection with the Directed Share Program or arise out of or are based upon any omission or alleged omission to state therein a material fact required to be stated therein or necessary in order to make the statements made therein not misleading; (ii) 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 </w:t>
      </w:r>
    </w:p>
    <w:p>
      <w:pPr>
        <w:pStyle w:val="TextBody"/>
        <w:bidi w:val="0"/>
        <w:spacing w:before="120" w:after="0"/>
        <w:jc w:val="left"/>
        <w:rPr>
          <w:rFonts w:ascii="Times New Roman" w:hAnsi="Times New Roman"/>
          <w:sz w:val="20"/>
        </w:rPr>
      </w:pPr>
      <w:r>
        <w:rPr>
          <w:rFonts w:ascii="Times New Roman" w:hAnsi="Times New Roman"/>
          <w:sz w:val="20"/>
        </w:rPr>
        <w:t xml:space="preserve">(b) In case any proceeding (including any governmental investigation) shall be instituted involving any Morgan Stanley Entity in respect of which indemnity may be sought pursuant to Section 10(a),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45 days after receipt by the Company of the aforesaid request and (ii) the Company shall not have reimbursed the Morgan Stanley Entity in 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the indemnification provided for in Section 10(a)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(i) above is not permitted by applicable law, in such proportion as is appropriate to reflect not only the relative benefits referred to in clause (i)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(after deducting underwriting commissions and discounts but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the Morgan Stanley Entities agree that it would not be just or equitable if contribution pursuant to this Section 10 were determined by </w:t>
      </w:r>
      <w:r>
        <w:rPr>
          <w:rFonts w:ascii="Times New Roman" w:hAnsi="Times New Roman"/>
          <w:i/>
          <w:sz w:val="20"/>
        </w:rPr>
        <w:t>pro rata</w:t>
      </w:r>
      <w:r>
        <w:rPr>
          <w:rFonts w:ascii="Times New Roman" w:hAnsi="Times New Roman"/>
          <w:sz w:val="20"/>
        </w:rPr>
        <w:t xml:space="preserve"> allocation (even if the Morgan Stanley Entities were treated as one entity for such purpose) or by any other method of allocation that does not take account of the equitable considerations referred to in Section 10(c).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10, 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10 are not exclusive and shall not limit any rights or remedies which may otherwise be available to any indemnified party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indemnity and contribution provisions contained in this Section 10 shall remain operative and in full force and effect regardless of (i) any termination of this Agreement, (ii) any investigation made by or on behalf of any Morgan Stanley Entity or the Company, its officers or directors or any person controlling the Company and (iii) acceptance of and payment for any of the Directed Shares.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or the Nasdaq Global Select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occurs is more than one-tenth of the aggregate number of Firm Shares to be purchased on such date, and arrangements reasonably satisfactory to the Representatives and the Company for the purchase of such Firm Shares are not made within 36 hours after such default, this Agreement shall terminate without liability on the part of any non-defaulting Underwriter or the Company Parties.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incurred by such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they may have against the Underwriters arising from an alleged breach of fiduciary duty in connection with the offering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Section 14,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Counterparts; Electronic Signatures</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Applicable Law</w:t>
      </w:r>
      <w:r>
        <w:rPr>
          <w:rFonts w:ascii="Times New Roman" w:hAnsi="Times New Roman"/>
          <w:sz w:val="20"/>
        </w:rPr>
        <w:t xml:space="preserve">. This Agreement and any claim, controversy or dispute arising under or related to this Agreement shall be governed by and construed in accordance with the internal laws of the State of New York, without regard to the conflict of laws principles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Jurisdiction and Venue</w:t>
      </w:r>
      <w:r>
        <w:rPr>
          <w:rFonts w:ascii="Times New Roman" w:hAnsi="Times New Roman"/>
          <w:sz w:val="20"/>
        </w:rPr>
        <w:t xml:space="preserve">. The parties hereby submit to the jurisdiction of and venue in the federal courts located in the City of New York, New York in connection with any dispute related to this Agreement, any transaction contemplated hereby, or any other matter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Jury Waiver</w:t>
      </w:r>
      <w:r>
        <w:rPr>
          <w:rFonts w:ascii="Times New Roman" w:hAnsi="Times New Roman"/>
          <w:sz w:val="20"/>
        </w:rPr>
        <w:t xml:space="preserve">. Each Company Party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 xml:space="preserve">Notices. </w:t>
      </w:r>
      <w:r>
        <w:rPr>
          <w:rFonts w:ascii="Times New Roman" w:hAnsi="Times New Roman"/>
          <w:sz w:val="20"/>
        </w:rPr>
        <w:t xml:space="preserve">All communications hereunder shall be in writing and effective only upon receipt and if to the Underwriters shall be delivered, mailed or sent to c/o Morgan Stanley &amp; Co. LLC, 1585 Broadway, New York, New York 10036, Attention: Equity Syndicate Desk, with a copy to the Legal and Compliance Division; c/o Citigroup Global Markets Inc., 388 Greenwich Street, New York, New York 10013, Attention: General Counsel, Fax: 646-291-1469; c/o UBS Securities LLC, 11 Madison Avenue, New York, New York 10010, Attention: Equity Syndicate; and c/o Stifel, Nicolaus &amp; Company, Incorporated, 787 Seventh Avenue, 11th Floor, New York, New York 10019; and if to the Company Parties shall be delivered, mailed or sent to ITG, Inc., 2400 E Commercial Blvd Ste 1000, Fort Lauderdale, FL 33308, with a copy to (which copy shall not constitute constructive notice) Kirkland &amp; Ellis LLP, 601 Lexington Avenue, New York, New York 10022; Attention: Joshua N. Korff; Michael Kim; Email: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ITG,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D. Parrott</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Andrew D. Parrott</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ITG Parent,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S. Lee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James S. Lee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Secretary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UBS Securities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240" w:after="0"/>
        <w:jc w:val="left"/>
        <w:rPr>
          <w:rFonts w:ascii="Times New Roman" w:hAnsi="Times New Roman"/>
          <w:sz w:val="20"/>
        </w:rPr>
      </w:pPr>
      <w:r>
        <w:rPr>
          <w:rFonts w:ascii="Times New Roman" w:hAnsi="Times New Roman"/>
          <w:sz w:val="20"/>
        </w:rPr>
        <w:t xml:space="preserve">Acting severally on behalf of themselves and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689"/>
        <w:gridCol w:w="60"/>
        <w:gridCol w:w="2909"/>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bidi w:val="0"/>
              <w:spacing w:before="0" w:after="283"/>
              <w:jc w:val="left"/>
              <w:rPr/>
            </w:pPr>
            <w:r>
              <w:rPr/>
              <w:t>Morgan Stanley &amp; Co.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Joe Nassirian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9" w:type="dxa"/>
            <w:tcBorders/>
          </w:tcPr>
          <w:p>
            <w:pPr>
              <w:pStyle w:val="TableContents"/>
              <w:bidi w:val="0"/>
              <w:spacing w:before="0" w:after="283"/>
              <w:jc w:val="left"/>
              <w:rPr/>
            </w:pPr>
            <w:r>
              <w:rPr/>
              <w:t>Joe Nassirian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9" w:type="dxa"/>
            <w:tcBorders/>
          </w:tcPr>
          <w:p>
            <w:pPr>
              <w:pStyle w:val="TableContents"/>
              <w:bidi w:val="0"/>
              <w:spacing w:before="0" w:after="283"/>
              <w:jc w:val="left"/>
              <w:rPr/>
            </w:pPr>
            <w:r>
              <w:rPr/>
              <w:t>Executive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UBS Securities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240" w:after="0"/>
        <w:jc w:val="left"/>
        <w:rPr>
          <w:rFonts w:ascii="Times New Roman" w:hAnsi="Times New Roman"/>
          <w:sz w:val="20"/>
        </w:rPr>
      </w:pPr>
      <w:r>
        <w:rPr>
          <w:rFonts w:ascii="Times New Roman" w:hAnsi="Times New Roman"/>
          <w:sz w:val="20"/>
        </w:rPr>
        <w:t xml:space="preserve">Acting severally on behalf of themselves and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6"/>
        <w:gridCol w:w="60"/>
        <w:gridCol w:w="695"/>
        <w:gridCol w:w="60"/>
        <w:gridCol w:w="2901"/>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6" w:type="dxa"/>
            <w:gridSpan w:val="3"/>
            <w:tcBorders/>
          </w:tcPr>
          <w:p>
            <w:pPr>
              <w:pStyle w:val="TableContents"/>
              <w:bidi w:val="0"/>
              <w:spacing w:before="0" w:after="283"/>
              <w:jc w:val="left"/>
              <w:rPr/>
            </w:pPr>
            <w:r>
              <w:rPr/>
              <w:t>Citigroup Global Markets Inc.</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6"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Cox</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Kevin Cox</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Vice Chairman of M&amp;A</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UBS Securities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240" w:after="0"/>
        <w:jc w:val="left"/>
        <w:rPr>
          <w:rFonts w:ascii="Times New Roman" w:hAnsi="Times New Roman"/>
          <w:sz w:val="20"/>
        </w:rPr>
      </w:pPr>
      <w:r>
        <w:rPr>
          <w:rFonts w:ascii="Times New Roman" w:hAnsi="Times New Roman"/>
          <w:sz w:val="20"/>
        </w:rPr>
        <w:t xml:space="preserve">Acting severally on behalf of themselves and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689"/>
        <w:gridCol w:w="60"/>
        <w:gridCol w:w="2909"/>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bidi w:val="0"/>
              <w:spacing w:before="0" w:after="283"/>
              <w:jc w:val="left"/>
              <w:rPr/>
            </w:pPr>
            <w:r>
              <w:rPr/>
              <w:t>UBS Securities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Tyler Nash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9" w:type="dxa"/>
            <w:tcBorders/>
          </w:tcPr>
          <w:p>
            <w:pPr>
              <w:pStyle w:val="TableContents"/>
              <w:bidi w:val="0"/>
              <w:spacing w:before="0" w:after="283"/>
              <w:jc w:val="left"/>
              <w:rPr/>
            </w:pPr>
            <w:r>
              <w:rPr/>
              <w:t>Tyler Nash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9" w:type="dxa"/>
            <w:tcBorders/>
          </w:tcPr>
          <w:p>
            <w:pPr>
              <w:pStyle w:val="TableContents"/>
              <w:bidi w:val="0"/>
              <w:spacing w:before="0" w:after="283"/>
              <w:jc w:val="left"/>
              <w:rPr/>
            </w:pPr>
            <w:r>
              <w:rPr/>
              <w:t>Executive Director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Hilbert Chen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9" w:type="dxa"/>
            <w:tcBorders/>
          </w:tcPr>
          <w:p>
            <w:pPr>
              <w:pStyle w:val="TableContents"/>
              <w:bidi w:val="0"/>
              <w:spacing w:before="0" w:after="283"/>
              <w:jc w:val="left"/>
              <w:rPr/>
            </w:pPr>
            <w:r>
              <w:rPr/>
              <w:t>Hilbert Chen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9"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UBS Securities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240" w:after="0"/>
        <w:jc w:val="left"/>
        <w:rPr>
          <w:rFonts w:ascii="Times New Roman" w:hAnsi="Times New Roman"/>
          <w:sz w:val="20"/>
        </w:rPr>
      </w:pPr>
      <w:r>
        <w:rPr>
          <w:rFonts w:ascii="Times New Roman" w:hAnsi="Times New Roman"/>
          <w:sz w:val="20"/>
        </w:rPr>
        <w:t xml:space="preserve">Acting severally on behalf of themselves and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0"/>
        <w:gridCol w:w="60"/>
        <w:gridCol w:w="684"/>
        <w:gridCol w:w="60"/>
        <w:gridCol w:w="2918"/>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gridSpan w:val="3"/>
            <w:tcBorders/>
          </w:tcPr>
          <w:p>
            <w:pPr>
              <w:pStyle w:val="TableContents"/>
              <w:bidi w:val="0"/>
              <w:spacing w:before="0" w:after="283"/>
              <w:jc w:val="left"/>
              <w:rPr/>
            </w:pPr>
            <w:r>
              <w:rPr/>
              <w:t>Stifel, Nicolaus &amp; Company, Incorporated</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4"/>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DeDomenico</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8" w:type="dxa"/>
            <w:tcBorders/>
          </w:tcPr>
          <w:p>
            <w:pPr>
              <w:pStyle w:val="TableContents"/>
              <w:bidi w:val="0"/>
              <w:spacing w:before="0" w:after="283"/>
              <w:jc w:val="left"/>
              <w:rPr/>
            </w:pPr>
            <w:r>
              <w:rPr/>
              <w:t>Craig DeDomenico</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8" w:type="dxa"/>
            <w:tcBorders/>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1"/>
        <w:gridCol w:w="674"/>
        <w:gridCol w:w="126"/>
        <w:gridCol w:w="2342"/>
        <w:gridCol w:w="62"/>
      </w:tblGrid>
      <w:tr>
        <w:trPr/>
        <w:tc>
          <w:tcPr>
            <w:tcW w:w="7001"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0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74" w:type="dxa"/>
            <w:tcBorders/>
            <w:vAlign w:val="bottom"/>
          </w:tcPr>
          <w:p>
            <w:pPr>
              <w:pStyle w:val="TableContents"/>
              <w:bidi w:val="0"/>
              <w:spacing w:before="0" w:after="283"/>
              <w:jc w:val="left"/>
              <w:rPr/>
            </w:pPr>
            <w:r>
              <w:rPr/>
              <w:t>  </w:t>
            </w:r>
          </w:p>
        </w:tc>
        <w:tc>
          <w:tcPr>
            <w:tcW w:w="2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Firm Shares</w:t>
              <w:br/>
              <w:t>To Be Purchased</w:t>
            </w:r>
          </w:p>
        </w:tc>
        <w:tc>
          <w:tcPr>
            <w:tcW w:w="62"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67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342" w:type="dxa"/>
            <w:tcBorders/>
            <w:shd w:fill="CCEEFF" w:val="clear"/>
            <w:vAlign w:val="bottom"/>
          </w:tcPr>
          <w:p>
            <w:pPr>
              <w:pStyle w:val="TableContents"/>
              <w:bidi w:val="0"/>
              <w:spacing w:before="0" w:after="283"/>
              <w:jc w:val="right"/>
              <w:rPr/>
            </w:pPr>
            <w:r>
              <w:rPr/>
              <w:t>5,560,975</w:t>
            </w:r>
          </w:p>
        </w:tc>
        <w:tc>
          <w:tcPr>
            <w:tcW w:w="62"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342" w:type="dxa"/>
            <w:tcBorders/>
            <w:vAlign w:val="bottom"/>
          </w:tcPr>
          <w:p>
            <w:pPr>
              <w:pStyle w:val="TableContents"/>
              <w:bidi w:val="0"/>
              <w:spacing w:before="0" w:after="283"/>
              <w:jc w:val="right"/>
              <w:rPr/>
            </w:pPr>
            <w:r>
              <w:rPr/>
              <w:t>3,512,195</w:t>
            </w:r>
          </w:p>
        </w:tc>
        <w:tc>
          <w:tcPr>
            <w:tcW w:w="62"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67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342" w:type="dxa"/>
            <w:tcBorders/>
            <w:shd w:fill="CCEEFF" w:val="clear"/>
            <w:vAlign w:val="bottom"/>
          </w:tcPr>
          <w:p>
            <w:pPr>
              <w:pStyle w:val="TableContents"/>
              <w:bidi w:val="0"/>
              <w:spacing w:before="0" w:after="283"/>
              <w:jc w:val="right"/>
              <w:rPr/>
            </w:pPr>
            <w:r>
              <w:rPr/>
              <w:t>3,512,195</w:t>
            </w:r>
          </w:p>
        </w:tc>
        <w:tc>
          <w:tcPr>
            <w:tcW w:w="62"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342" w:type="dxa"/>
            <w:tcBorders/>
            <w:vAlign w:val="bottom"/>
          </w:tcPr>
          <w:p>
            <w:pPr>
              <w:pStyle w:val="TableContents"/>
              <w:bidi w:val="0"/>
              <w:spacing w:before="0" w:after="283"/>
              <w:jc w:val="right"/>
              <w:rPr/>
            </w:pPr>
            <w:r>
              <w:rPr/>
              <w:t>1,463,415</w:t>
            </w:r>
          </w:p>
        </w:tc>
        <w:tc>
          <w:tcPr>
            <w:tcW w:w="62"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67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342" w:type="dxa"/>
            <w:tcBorders/>
            <w:shd w:fill="CCEEFF" w:val="clear"/>
            <w:vAlign w:val="bottom"/>
          </w:tcPr>
          <w:p>
            <w:pPr>
              <w:pStyle w:val="TableContents"/>
              <w:bidi w:val="0"/>
              <w:spacing w:before="0" w:after="283"/>
              <w:jc w:val="right"/>
              <w:rPr/>
            </w:pPr>
            <w:r>
              <w:rPr/>
              <w:t>1,463,415</w:t>
            </w:r>
          </w:p>
        </w:tc>
        <w:tc>
          <w:tcPr>
            <w:tcW w:w="62"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Robert W. Baird &amp; Co. Incorporated</w:t>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342" w:type="dxa"/>
            <w:tcBorders/>
            <w:vAlign w:val="bottom"/>
          </w:tcPr>
          <w:p>
            <w:pPr>
              <w:pStyle w:val="TableContents"/>
              <w:bidi w:val="0"/>
              <w:spacing w:before="0" w:after="283"/>
              <w:jc w:val="right"/>
              <w:rPr/>
            </w:pPr>
            <w:r>
              <w:rPr/>
              <w:t>975,610</w:t>
            </w:r>
          </w:p>
        </w:tc>
        <w:tc>
          <w:tcPr>
            <w:tcW w:w="62"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67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342" w:type="dxa"/>
            <w:tcBorders/>
            <w:shd w:fill="CCEEFF" w:val="clear"/>
            <w:vAlign w:val="bottom"/>
          </w:tcPr>
          <w:p>
            <w:pPr>
              <w:pStyle w:val="TableContents"/>
              <w:bidi w:val="0"/>
              <w:spacing w:before="0" w:after="283"/>
              <w:jc w:val="right"/>
              <w:rPr/>
            </w:pPr>
            <w:r>
              <w:rPr/>
              <w:t>975,610</w:t>
            </w:r>
          </w:p>
        </w:tc>
        <w:tc>
          <w:tcPr>
            <w:tcW w:w="62"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342" w:type="dxa"/>
            <w:tcBorders/>
            <w:vAlign w:val="bottom"/>
          </w:tcPr>
          <w:p>
            <w:pPr>
              <w:pStyle w:val="TableContents"/>
              <w:bidi w:val="0"/>
              <w:spacing w:before="0" w:after="283"/>
              <w:jc w:val="right"/>
              <w:rPr/>
            </w:pPr>
            <w:r>
              <w:rPr/>
              <w:t>780,488</w:t>
            </w:r>
          </w:p>
        </w:tc>
        <w:tc>
          <w:tcPr>
            <w:tcW w:w="62"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67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342" w:type="dxa"/>
            <w:tcBorders/>
            <w:shd w:fill="CCEEFF" w:val="clear"/>
            <w:vAlign w:val="bottom"/>
          </w:tcPr>
          <w:p>
            <w:pPr>
              <w:pStyle w:val="TableContents"/>
              <w:bidi w:val="0"/>
              <w:spacing w:before="0" w:after="283"/>
              <w:jc w:val="right"/>
              <w:rPr/>
            </w:pPr>
            <w:r>
              <w:rPr/>
              <w:t>780,488</w:t>
            </w:r>
          </w:p>
        </w:tc>
        <w:tc>
          <w:tcPr>
            <w:tcW w:w="62"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Houlihan Lokey Capital, Inc.</w:t>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342" w:type="dxa"/>
            <w:tcBorders/>
            <w:vAlign w:val="bottom"/>
          </w:tcPr>
          <w:p>
            <w:pPr>
              <w:pStyle w:val="TableContents"/>
              <w:bidi w:val="0"/>
              <w:spacing w:before="0" w:after="283"/>
              <w:jc w:val="right"/>
              <w:rPr/>
            </w:pPr>
            <w:r>
              <w:rPr/>
              <w:t>195,122</w:t>
            </w:r>
          </w:p>
        </w:tc>
        <w:tc>
          <w:tcPr>
            <w:tcW w:w="62"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67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342" w:type="dxa"/>
            <w:tcBorders/>
            <w:shd w:fill="CCEEFF" w:val="clear"/>
            <w:vAlign w:val="bottom"/>
          </w:tcPr>
          <w:p>
            <w:pPr>
              <w:pStyle w:val="TableContents"/>
              <w:bidi w:val="0"/>
              <w:spacing w:before="0" w:after="283"/>
              <w:jc w:val="right"/>
              <w:rPr/>
            </w:pPr>
            <w:r>
              <w:rPr/>
              <w:t>97,561</w:t>
            </w:r>
          </w:p>
        </w:tc>
        <w:tc>
          <w:tcPr>
            <w:tcW w:w="62"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342" w:type="dxa"/>
            <w:tcBorders/>
            <w:vAlign w:val="bottom"/>
          </w:tcPr>
          <w:p>
            <w:pPr>
              <w:pStyle w:val="TableContents"/>
              <w:bidi w:val="0"/>
              <w:spacing w:before="0" w:after="283"/>
              <w:jc w:val="right"/>
              <w:rPr/>
            </w:pPr>
            <w:r>
              <w:rPr/>
              <w:t>97,561</w:t>
            </w:r>
          </w:p>
        </w:tc>
        <w:tc>
          <w:tcPr>
            <w:tcW w:w="62"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67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342" w:type="dxa"/>
            <w:tcBorders/>
            <w:shd w:fill="CCEEFF" w:val="clear"/>
            <w:vAlign w:val="bottom"/>
          </w:tcPr>
          <w:p>
            <w:pPr>
              <w:pStyle w:val="TableContents"/>
              <w:bidi w:val="0"/>
              <w:spacing w:before="0" w:after="283"/>
              <w:jc w:val="right"/>
              <w:rPr/>
            </w:pPr>
            <w:r>
              <w:rPr/>
              <w:t>97,561</w:t>
            </w:r>
          </w:p>
        </w:tc>
        <w:tc>
          <w:tcPr>
            <w:tcW w:w="62"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234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342" w:type="dxa"/>
            <w:tcBorders/>
            <w:vAlign w:val="bottom"/>
          </w:tcPr>
          <w:p>
            <w:pPr>
              <w:pStyle w:val="TableContents"/>
              <w:bidi w:val="0"/>
              <w:spacing w:before="0" w:after="283"/>
              <w:jc w:val="right"/>
              <w:rPr/>
            </w:pPr>
            <w:r>
              <w:rPr/>
              <w:t>19,512,196</w:t>
            </w:r>
          </w:p>
        </w:tc>
        <w:tc>
          <w:tcPr>
            <w:tcW w:w="62"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234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Prospectus issued June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prospectuses filed by the Company under Rule 433(d) of the Securities Act: None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Firm Shares to be sold by the Company: 19,512,196 </w:t>
      </w:r>
    </w:p>
    <w:p>
      <w:pPr>
        <w:pStyle w:val="TextBody"/>
        <w:bidi w:val="0"/>
        <w:spacing w:before="0" w:after="0"/>
        <w:jc w:val="left"/>
        <w:rPr>
          <w:rFonts w:ascii="Times New Roman" w:hAnsi="Times New Roman"/>
          <w:sz w:val="20"/>
        </w:rPr>
      </w:pPr>
      <w:r>
        <w:rPr>
          <w:rFonts w:ascii="Times New Roman" w:hAnsi="Times New Roman"/>
          <w:sz w:val="20"/>
        </w:rPr>
        <w:t xml:space="preserve">Additional Shares to be sold by the Company: 2,926,829 </w:t>
      </w:r>
    </w:p>
    <w:p>
      <w:pPr>
        <w:pStyle w:val="TextBody"/>
        <w:bidi w:val="0"/>
        <w:spacing w:before="0" w:after="0"/>
        <w:jc w:val="left"/>
        <w:rPr>
          <w:rFonts w:ascii="Times New Roman" w:hAnsi="Times New Roman"/>
          <w:sz w:val="20"/>
        </w:rPr>
      </w:pPr>
      <w:r>
        <w:rPr>
          <w:rFonts w:ascii="Times New Roman" w:hAnsi="Times New Roman"/>
          <w:sz w:val="20"/>
        </w:rPr>
        <w:t xml:space="preserve">Public Offering Price: $16.00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III </w:t>
      </w:r>
    </w:p>
    <w:p>
      <w:pPr>
        <w:pStyle w:val="TextBody"/>
        <w:bidi w:val="0"/>
        <w:spacing w:before="240" w:after="0"/>
        <w:jc w:val="center"/>
        <w:rPr>
          <w:rFonts w:ascii="Times New Roman" w:hAnsi="Times New Roman"/>
          <w:b/>
          <w:sz w:val="20"/>
        </w:rPr>
      </w:pPr>
      <w:r>
        <w:rPr>
          <w:rFonts w:ascii="Times New Roman" w:hAnsi="Times New Roman"/>
          <w:b/>
          <w:sz w:val="20"/>
        </w:rPr>
        <w:t xml:space="preserve">Testing the Waters Communications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Testing-the-Waters Presentation dated May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IV </w:t>
      </w:r>
    </w:p>
    <w:p>
      <w:pPr>
        <w:pStyle w:val="TextBody"/>
        <w:bidi w:val="0"/>
        <w:spacing w:before="240" w:after="0"/>
        <w:jc w:val="center"/>
        <w:rPr>
          <w:rFonts w:ascii="Times New Roman" w:hAnsi="Times New Roman"/>
          <w:b/>
          <w:sz w:val="20"/>
        </w:rPr>
      </w:pPr>
      <w:r>
        <w:rPr>
          <w:rFonts w:ascii="Times New Roman" w:hAnsi="Times New Roman"/>
          <w:b/>
          <w:sz w:val="20"/>
        </w:rPr>
        <w:t xml:space="preserve">Persons or Entities Delivering Lock Up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OCM Power VI AIV Holdings (Delaware),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OCM ITG Aggregator,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ITG Management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Andrew D. Parrott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H. Mecray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G. Brooks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Guilherme Elias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Peter A. Giacalone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William LaPerch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Joel Rivas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Francis A. Braun 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S. Lee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Nicholas G. Papadakis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Dylan G. Petre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Robert L. Wu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____________,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UBS Securities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Morgan Stanley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Citigroup Global Markets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UBS Securities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11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Stifel, Nicolaus &amp; Company, Incorporated </w:t>
            </w:r>
          </w:p>
        </w:tc>
      </w:tr>
    </w:tbl>
    <w:p>
      <w:pPr>
        <w:pStyle w:val="TextBody"/>
        <w:bidi w:val="0"/>
        <w:spacing w:before="0" w:after="0"/>
        <w:jc w:val="left"/>
        <w:rPr>
          <w:rFonts w:ascii="Times New Roman" w:hAnsi="Times New Roman"/>
          <w:sz w:val="20"/>
        </w:rPr>
      </w:pPr>
      <w:r>
        <w:rPr>
          <w:rFonts w:ascii="Times New Roman" w:hAnsi="Times New Roman"/>
          <w:sz w:val="20"/>
        </w:rPr>
        <w:t xml:space="preserve">787 Seventh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Morgan Stanley &amp; Co. LLC (“</w:t>
      </w:r>
      <w:r>
        <w:rPr>
          <w:rFonts w:ascii="Times New Roman" w:hAnsi="Times New Roman"/>
          <w:b/>
          <w:sz w:val="20"/>
        </w:rPr>
        <w:t>Morgan Stanley</w:t>
      </w:r>
      <w:r>
        <w:rPr>
          <w:rFonts w:ascii="Times New Roman" w:hAnsi="Times New Roman"/>
          <w:sz w:val="20"/>
        </w:rPr>
        <w:t>”), Citigroup Global Markets Inc. (“</w:t>
      </w:r>
      <w:r>
        <w:rPr>
          <w:rFonts w:ascii="Times New Roman" w:hAnsi="Times New Roman"/>
          <w:b/>
          <w:sz w:val="20"/>
        </w:rPr>
        <w:t>Citi</w:t>
      </w:r>
      <w:r>
        <w:rPr>
          <w:rFonts w:ascii="Times New Roman" w:hAnsi="Times New Roman"/>
          <w:sz w:val="20"/>
        </w:rPr>
        <w:t>”), UBS Securities LLC (“</w:t>
      </w:r>
      <w:r>
        <w:rPr>
          <w:rFonts w:ascii="Times New Roman" w:hAnsi="Times New Roman"/>
          <w:b/>
          <w:sz w:val="20"/>
        </w:rPr>
        <w:t>UBS</w:t>
      </w:r>
      <w:r>
        <w:rPr>
          <w:rFonts w:ascii="Times New Roman" w:hAnsi="Times New Roman"/>
          <w:sz w:val="20"/>
        </w:rPr>
        <w:t>”) and Stifel, Nicolaus &amp; Company, Incorporated, as representatives of the several underwriters (collectively, the “</w:t>
      </w:r>
      <w:r>
        <w:rPr>
          <w:rFonts w:ascii="Times New Roman" w:hAnsi="Times New Roman"/>
          <w:b/>
          <w:sz w:val="20"/>
        </w:rPr>
        <w:t>Representatives</w:t>
      </w:r>
      <w:r>
        <w:rPr>
          <w:rFonts w:ascii="Times New Roman" w:hAnsi="Times New Roman"/>
          <w:sz w:val="20"/>
        </w:rPr>
        <w:t>”), propose to enter into an Underwriting Agreement (the “</w:t>
      </w:r>
      <w:r>
        <w:rPr>
          <w:rFonts w:ascii="Times New Roman" w:hAnsi="Times New Roman"/>
          <w:b/>
          <w:sz w:val="20"/>
        </w:rPr>
        <w:t>Underwriting Agreement</w:t>
      </w:r>
      <w:r>
        <w:rPr>
          <w:rFonts w:ascii="Times New Roman" w:hAnsi="Times New Roman"/>
          <w:sz w:val="20"/>
        </w:rPr>
        <w:t>”) with ITG, Inc., a Delaware corporation (the “</w:t>
      </w:r>
      <w:r>
        <w:rPr>
          <w:rFonts w:ascii="Times New Roman" w:hAnsi="Times New Roman"/>
          <w:b/>
          <w:sz w:val="20"/>
        </w:rPr>
        <w:t>Company</w:t>
      </w:r>
      <w:r>
        <w:rPr>
          <w:rFonts w:ascii="Times New Roman" w:hAnsi="Times New Roman"/>
          <w:sz w:val="20"/>
        </w:rPr>
        <w:t>”), and ITG Parent, LLC, a Delaware limited liability company, providing for the public offering (the “</w:t>
      </w:r>
      <w:r>
        <w:rPr>
          <w:rFonts w:ascii="Times New Roman" w:hAnsi="Times New Roman"/>
          <w:b/>
          <w:sz w:val="20"/>
        </w:rPr>
        <w:t>Public Offering</w:t>
      </w:r>
      <w:r>
        <w:rPr>
          <w:rFonts w:ascii="Times New Roman" w:hAnsi="Times New Roman"/>
          <w:sz w:val="20"/>
        </w:rPr>
        <w:t>”) by the several Underwriters named therein, including the Representatives (the “</w:t>
      </w:r>
      <w:r>
        <w:rPr>
          <w:rFonts w:ascii="Times New Roman" w:hAnsi="Times New Roman"/>
          <w:b/>
          <w:sz w:val="20"/>
        </w:rPr>
        <w:t>Underwriters</w:t>
      </w:r>
      <w:r>
        <w:rPr>
          <w:rFonts w:ascii="Times New Roman" w:hAnsi="Times New Roman"/>
          <w:sz w:val="20"/>
        </w:rPr>
        <w:t>”), of shares (the “</w:t>
      </w:r>
      <w:r>
        <w:rPr>
          <w:rFonts w:ascii="Times New Roman" w:hAnsi="Times New Roman"/>
          <w:b/>
          <w:sz w:val="20"/>
        </w:rPr>
        <w:t>Shares</w:t>
      </w:r>
      <w:r>
        <w:rPr>
          <w:rFonts w:ascii="Times New Roman" w:hAnsi="Times New Roman"/>
          <w:sz w:val="20"/>
        </w:rPr>
        <w:t>”) of the Class A common stock, par value $0.001 per share, of the Company (the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induce the Underwriters that may participate in the Public Offering to continue their efforts in connection with the Public Offering, the undersigned hereby agrees that, except as provided in this Agreement, without the prior written consent of at least two of Morgan Stanley, Citi and UBS (collectively, the “</w:t>
      </w:r>
      <w:r>
        <w:rPr>
          <w:rFonts w:ascii="Times New Roman" w:hAnsi="Times New Roman"/>
          <w:b/>
          <w:sz w:val="20"/>
        </w:rPr>
        <w:t>Designated Representatives</w:t>
      </w:r>
      <w:r>
        <w:rPr>
          <w:rFonts w:ascii="Times New Roman" w:hAnsi="Times New Roman"/>
          <w:sz w:val="20"/>
        </w:rPr>
        <w:t>”) on behalf of the Underwriters, he, she or it will not, and will not publicly disclose an intention to, during the period commencing on the date hereof and ending immediately after the close of the Trading Day occurring on the 180th day after the date of the final prospectus (the “</w:t>
      </w:r>
      <w:r>
        <w:rPr>
          <w:rFonts w:ascii="Times New Roman" w:hAnsi="Times New Roman"/>
          <w:b/>
          <w:sz w:val="20"/>
        </w:rPr>
        <w:t>Prospectus</w:t>
      </w:r>
      <w:r>
        <w:rPr>
          <w:rFonts w:ascii="Times New Roman" w:hAnsi="Times New Roman"/>
          <w:sz w:val="20"/>
        </w:rPr>
        <w:t>”) relating to the Public Offering (such day, the “</w:t>
      </w:r>
      <w:r>
        <w:rPr>
          <w:rFonts w:ascii="Times New Roman" w:hAnsi="Times New Roman"/>
          <w:b/>
          <w:sz w:val="20"/>
        </w:rPr>
        <w:t>180th Day</w:t>
      </w:r>
      <w:r>
        <w:rPr>
          <w:rFonts w:ascii="Times New Roman" w:hAnsi="Times New Roman"/>
          <w:sz w:val="20"/>
        </w:rPr>
        <w:t>”) or, if the 180th Day is not a Trading Day, ending immediately after the close of the last Trading Day immediately preceding the 180th Day (such period of time between the date hereof and, as the case may be, the 180th Day or the last Trading Day immediately preceding the 180th Day, referred to herein as the “</w:t>
      </w:r>
      <w:r>
        <w:rPr>
          <w:rFonts w:ascii="Times New Roman" w:hAnsi="Times New Roman"/>
          <w:b/>
          <w:sz w:val="20"/>
        </w:rPr>
        <w:t>Restricted Period</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Class A Common Stock owned or hereafter acquired by the undersigned or with respect to which the undersigned has or hereafter acquires the power of disposition (including, without limitation, Class A Common Stock or such other securities which may be deemed to be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or any other securities so owned convertible into or exercisable or exchangeable for Class A Common Stock (collectively, the “</w:t>
      </w:r>
      <w:r>
        <w:rPr>
          <w:rFonts w:ascii="Times New Roman" w:hAnsi="Times New Roman"/>
          <w:b/>
          <w:sz w:val="20"/>
        </w:rPr>
        <w:t>Restricted Securities</w:t>
      </w:r>
      <w:r>
        <w:rPr>
          <w:rFonts w:ascii="Times New Roman" w:hAnsi="Times New Roman"/>
          <w:sz w:val="20"/>
        </w:rPr>
        <w:t>”) or (2) enter into any hedging,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Restricted Securities, whether any such transaction described in clause (1) or (2) above (any transaction described in clause (1) or (2) above, collectively, “</w:t>
      </w:r>
      <w:r>
        <w:rPr>
          <w:rFonts w:ascii="Times New Roman" w:hAnsi="Times New Roman"/>
          <w:b/>
          <w:sz w:val="20"/>
        </w:rPr>
        <w:t>Transfers</w:t>
      </w:r>
      <w:r>
        <w:rPr>
          <w:rFonts w:ascii="Times New Roman" w:hAnsi="Times New Roman"/>
          <w:sz w:val="20"/>
        </w:rPr>
        <w:t xml:space="preserve">”) is to be settled by delivery of Class A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Restricted Securities, even if any such sale or disposition transaction or transactions would be made or executed by or on behalf of someone other than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a “Trading Day” is a day on which the Nasdaq Global Select Market is open for the buying and selling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paragraph shall not apply to the following, </w:t>
      </w:r>
      <w:r>
        <w:rPr>
          <w:rFonts w:ascii="Times New Roman" w:hAnsi="Times New Roman"/>
          <w:i/>
          <w:sz w:val="20"/>
        </w:rPr>
        <w:t>provided</w:t>
      </w:r>
      <w:r>
        <w:rPr>
          <w:rFonts w:ascii="Times New Roman" w:hAnsi="Times New Roman"/>
          <w:sz w:val="20"/>
        </w:rPr>
        <w:t xml:space="preserve"> that in the case of any transfer or distribution pursuant to clauses (b) and (d) below, (A) each donee, distributee or transferee, as the case may be, shall sign and deliver a lock-up agreement substantially in the form of this agreement for the balance of the Restricted Period, except that with respect to any related series of transfers or distributions to transferees or distributees permitted under clause (d) that are deemed to occur simultaneously, only the ultimate transferee or distributee in such series shall be required to sign and deliver such a lock-up agreement (B) any such transfer shall not involve a disposition for value, (C) such transfers are not required to be reported during the Restricted Period in a filing with the Securities and Exchange Commission under Section 16(a) of the Exchange Act on Form 4 or Form 5 (or, in the case of sub-clause (b)(i)-(ii), any filing, if required, shall indicate in the footnotes thereto that the filing relates to circumstances described in the relevant sub-clause) and (D) the undersigned does not otherwise voluntarily effect any public filing or report regarding such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transactions relating to shares of Class A Common Stock or other securities acquired in the Public Offering (including the transactions described under the caption “Organizational Structure” in the Prospectus but excluding, solely in the case of officers and directors of the Company, any issuer-directed Shares purchased in the Public Offering) or acquired in open market or other transactions after the completion of the Public Offering, </w:t>
      </w:r>
      <w:r>
        <w:rPr>
          <w:rFonts w:ascii="Times New Roman" w:hAnsi="Times New Roman"/>
          <w:i/>
          <w:sz w:val="20"/>
        </w:rPr>
        <w:t>provided</w:t>
      </w:r>
      <w:r>
        <w:rPr>
          <w:rFonts w:ascii="Times New Roman" w:hAnsi="Times New Roman"/>
          <w:sz w:val="20"/>
        </w:rPr>
        <w:t xml:space="preserve"> that no public report or filing with the Securities and Exchange Commission or otherwise is required or voluntarily made during the Restricted Period in connection with subsequent sales of Class A Common Stock or other securities acquired either in the Public Offering or in such open market or other transactions after the completion of the Public Offering (other than any Schedule 13G, 13D or Form 13F (or any amendments to such schedules or forms)); </w:t>
      </w:r>
    </w:p>
    <w:p>
      <w:pPr>
        <w:pStyle w:val="TextBody"/>
        <w:bidi w:val="0"/>
        <w:spacing w:before="120" w:after="0"/>
        <w:jc w:val="left"/>
        <w:rPr>
          <w:rFonts w:ascii="Times New Roman" w:hAnsi="Times New Roman"/>
          <w:sz w:val="20"/>
        </w:rPr>
      </w:pPr>
      <w:r>
        <w:rPr>
          <w:rFonts w:ascii="Times New Roman" w:hAnsi="Times New Roman"/>
          <w:sz w:val="20"/>
        </w:rPr>
        <w:t xml:space="preserve">(b) transfers, dispositions or distributions of shares of Class A Common Stock or any security convertible into or exercisable or exchangeable for Class A Common Stock as: (i) a bona fide gift, including, without limitation, to a charitable organization or educational institution, or for bona fide estate planning purposes, (ii) by will, testamentary document or intestacy, (iii) to any corporation, partnership, limited liability company or other entity that controls, is controlled by or managed by, or is under common control with, the undersigned, or the immediate family of the undersigned (as defined in FINRA Rule 5130(i)(5)), (iv) to any nominee or custodian of a person or entity to whom a disposition or transfer would be permissible under clauses (i) through (iii) above, (v) to any member of the undersigned’s immediate family or to any trust, partnership, limited liability company or other entity for the direct or indirect benefit of the undersigned and/or any member of the undersigned’s immediate family, or if the undersigned is a trust, to a trustor or beneficiary of the trust or to the estate of the beneficiary of such trust or (vi) to the Company upon the undersigned’s death, disability or termination of employment or other service relationship with the Company; </w:t>
      </w:r>
      <w:r>
        <w:rPr>
          <w:rFonts w:ascii="Times New Roman" w:hAnsi="Times New Roman"/>
          <w:i/>
          <w:sz w:val="20"/>
        </w:rPr>
        <w:t>provided</w:t>
      </w:r>
      <w:r>
        <w:rPr>
          <w:rFonts w:ascii="Times New Roman" w:hAnsi="Times New Roman"/>
          <w:sz w:val="20"/>
        </w:rPr>
        <w:t xml:space="preserve"> that such Class A Common Stock was issued to the undersigned pursuant to an agreement or equity award granted pursuant to an employee benefit plan, option, warrant or other right disclosed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(c) transfers, dispositions or distributions of shares of Class A Common Stock or any security convertible into or exercisable or exchangeable for Class A Common Stock by operation of law, such as pursuant to a qualified domestic relations order, divorce settlement, divorce decree or separation agreement or pursuant to an order of a court or regulatory agency having jurisdiction over the undersigned, </w:t>
      </w:r>
      <w:r>
        <w:rPr>
          <w:rFonts w:ascii="Times New Roman" w:hAnsi="Times New Roman"/>
          <w:i/>
          <w:sz w:val="20"/>
        </w:rPr>
        <w:t xml:space="preserve">provided </w:t>
      </w:r>
      <w:r>
        <w:rPr>
          <w:rFonts w:ascii="Times New Roman" w:hAnsi="Times New Roman"/>
          <w:sz w:val="20"/>
        </w:rPr>
        <w:t xml:space="preserve">that any filing under Section 16(a) of the Exchange Act or any other public filing or disclosure by or on behalf of the undersigned that is required to be made during the Restricted Period as a result of such transfer, disposition or distribution shall include a statement that such transfer has occurred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undersigned is not an individual, transfers or distributions of shares of Class A Common Stock or any security convertible into or exercisable or exchangeable for Class A Common Stock to: (i) another corporation, partnership, limited liability company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(ii) as part of a distribution, transfer or other disposition to any current or former, direct or indirect general or limited partners, limited liability company members or stockholders of the undersigned or holders of similar equity interests in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(e) facilitating the establishment of a trading plan on behalf of a shareholder, officer or director of the Company pursuant to Rule 10b5-1 under the Exchange Act for the transfer of shares of Class A Common Stock, </w:t>
      </w:r>
      <w:r>
        <w:rPr>
          <w:rFonts w:ascii="Times New Roman" w:hAnsi="Times New Roman"/>
          <w:i/>
          <w:sz w:val="20"/>
        </w:rPr>
        <w:t>provided</w:t>
      </w:r>
      <w:r>
        <w:rPr>
          <w:rFonts w:ascii="Times New Roman" w:hAnsi="Times New Roman"/>
          <w:sz w:val="20"/>
        </w:rPr>
        <w:t xml:space="preserve"> that (i) such plan does not provide for the transfer of Class A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Class A Common Stock may be made under such plan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(f) (i) the receipt by the undersigned from the Company of shares of Class A Common Stock or any security convertible into or exercisable or exchangeable for Common Stock upon the settlement or exercise of restricted stock units, restricted stock, options, warrants or other rights to purchase or otherwise acquire Class A Common Stock or any security convertible into or exercisable or exchangeable for Class A Common Stock (including, in each case, by way of “net” or “cashless” exercise, settlement or similar procedure), or (ii) transfers or dispositions by the undersigned to the Company in connection with the vesting, settlement or exercise of restricted stock units, restricted stock, options, warrants or other rights to purchase or otherwise acquire Class A Common Stock or any security convertible into or exercisable or exchangeable for Class A Common Stock (including, in each case, by way of “net” or “cashless” exercise), including any transfer to the Company for the payment of tax withholdings, estimated taxes or remittance payments due as a result of the vesting, settlement or exercise of such restricted stock units, restricted stock, options, warrants or other rights to purchase or otherwise acquire Class A Common Stock, or in connection with the conversion of convertible securities; </w:t>
      </w:r>
      <w:r>
        <w:rPr>
          <w:rFonts w:ascii="Times New Roman" w:hAnsi="Times New Roman"/>
          <w:i/>
          <w:sz w:val="20"/>
        </w:rPr>
        <w:t>provided</w:t>
      </w:r>
      <w:r>
        <w:rPr>
          <w:rFonts w:ascii="Times New Roman" w:hAnsi="Times New Roman"/>
          <w:sz w:val="20"/>
        </w:rPr>
        <w:t xml:space="preserve"> that (1) any such shares of Class A Common Stock or any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convertible into or exercisable or exchangeable for Common Stock received by the undersigned shall be subject to the terms of this agreement, (2) to the extent a filing under Section 16(a) of the Exchange Act is required during the Restricted Period as a result of such transfers or dispositions pursuant to clause (f)(ii), it shall clearly indicate that the filing relates to the circumstances described in this clause (f)(ii); (3) the undersigned does not otherwise voluntarily effect any public filing or report regarding such transfers; and (4) any such restricted stock units, restricted stock, options, warrants or rights are held by the undersigned pursuant to an agreement or equity award granted under a stock incentive plan or other equity award plan, each of which is disclosed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shares of Class A Common Stock or securities convertible into or exercisable or exchangeable for Class A Common Stock transferred in “sell to cover” or similar open market transactions during the Restricted Period to satisfy any exercise price or tax withholding obligations (up to the amount required for such satisfaction) as a result of the vesting, exercise or settlement of restricted stock units, restricted stock, options, warrants or other rights to purchase or otherwise acquire Class A Common Stock or any security convertible into or exercisable or exchangeable for Class A Common Stock, provided that, any such shares of Class A Common Stock retained by the undersigned after giving effect to this provision shall remain subject to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shares of Class A Common Stock transferred pursuant to a </w:t>
      </w:r>
      <w:r>
        <w:rPr>
          <w:rFonts w:ascii="Times New Roman" w:hAnsi="Times New Roman"/>
          <w:i/>
          <w:sz w:val="20"/>
        </w:rPr>
        <w:t>bona fide</w:t>
      </w:r>
      <w:r>
        <w:rPr>
          <w:rFonts w:ascii="Times New Roman" w:hAnsi="Times New Roman"/>
          <w:sz w:val="20"/>
        </w:rPr>
        <w:t xml:space="preserve"> third party tender offer, merger, consolidation or other similar transaction involving a Change of Control (as defined herein) of the Company (including, without limitation, the entering into any lock-up, voting or similar agreement pursuant to which the undersigned may agree to transfer, sell, tender or otherwise dispose of Restricted Securities or other such securities in connection with such transaction, or vote any Restricted Securities or other such securities in favor of any such transaction) and approved by the Company’s board of directors; </w:t>
      </w:r>
      <w:r>
        <w:rPr>
          <w:rFonts w:ascii="Times New Roman" w:hAnsi="Times New Roman"/>
          <w:i/>
          <w:sz w:val="20"/>
        </w:rPr>
        <w:t>provided that</w:t>
      </w:r>
      <w:r>
        <w:rPr>
          <w:rFonts w:ascii="Times New Roman" w:hAnsi="Times New Roman"/>
          <w:sz w:val="20"/>
        </w:rPr>
        <w:t xml:space="preserve"> in the event that such Change of Control transaction is not completed, the Class A Common Stock shall remain subject to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securities sold pursuant to a plan that complies with Rule 10b5-1 under the Exchange Act that has been entered into by the undersigned prior to the date of this agreement; provided that (1) any filing under Section 16(a) of the Exchange Act made during the Restricted Period shall clearly indicate in the footnotes thereto that the filing relates to the circumstances described above and (2) the undersigned does not otherwise voluntarily effect any other public filing or report regarding such sales or transfers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(j) transfers of shares of Class A Common Stock or any securities convertible into or exercisable or exchangeable for Class A Common Stock to the Company pursuant to arrangements under which the Company has the option or right to repurchase such securities or a right of refusal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sale of the undersigned’s LLC Interests to the Company or any of its subsidiaries in connection with the purchase of LLC Interests from the undersigned by the Company or any of its subsidiaries with the net proceeds of the Public Offering, as described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(l) conversion, exchange or reclassification of (1) any outstanding securities of the Company into shares of Class A Common Stock, or (2) Class A Common Stock into other securities, provided that any Class A Common Stock or other securities received by the undersigned upon such conversion, exchange or reclassification shall be subject to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(m) any sales of shares of Class A Common Stock by the undersigned to the Underwriters pursuant to the Underwriting Agreement. </w:t>
      </w:r>
    </w:p>
    <w:p>
      <w:pPr>
        <w:pStyle w:val="TextBody"/>
        <w:bidi w:val="0"/>
        <w:spacing w:before="240" w:after="0"/>
        <w:jc w:val="left"/>
        <w:rPr/>
      </w:pPr>
      <w:r>
        <w:rPr/>
        <w:t>“</w:t>
      </w:r>
      <w:r>
        <w:rPr>
          <w:rFonts w:ascii="Times New Roman" w:hAnsi="Times New Roman"/>
          <w:sz w:val="20"/>
        </w:rPr>
        <w:t xml:space="preserve">Change of Control” means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at least 50% of the outstanding voting securities of the Company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at least two of the other Designated Representatives on behalf of the Underwriters, it will not, during the Restricted Period, make any demand for or exercise any right with respect to, the registration of any Restricted Securities. Notwithstanding the foregoing, to the extent the undersigned has demand and/or piggyback registration rights under any registration rights agreement described in the Prospectus, the undersigned may notify the Company privately that the undersigned is or will be exercising his, her or its demand and/or piggyback registration rights under any such registration rights agreement following the expiration of the Restricted Period and undertake preparations related thereto; provided that the foregoing notification and/or preparations do not request, require or result in the public filing of a registration statement with the Securities and Exchange Commission or any other public announcement of such proposed registration by the undersigned, the Company or any third party during the Restricted Period (and no such filing, public announcement or activity shall be voluntarily made or taken by the undersigned, the Company or any third party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an officer or director of the Company, the undersigned further agrees that the foregoing restrictions shall be equally applicable to any issuer-directed Shares the undersigned may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an officer or director of the Company, (i) the Representatives agree that, at least three business days before the effective date of any release or waiver of the foregoing restrictions in connection with a transfer of shares of Class A Common Stock, at least two of the Designated Representatives will notify the Company of the impending release or waiver, and (ii) the Company has agreed in the Underwriting Agreement to announce the impending release or waiver by press release through a major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news service at least two business days before the effective date of the release or waiver. Any release or waiver granted by at least two of the Designated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or to an immediate family (as defined in FINRA Rule 5130(i)(5)) of the undersigned and (b) the transferee has agreed in writing to be bound by the same terms described in this agreement to the extent and for the duration that such terms remain in effect at the time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If at least two of the Designated Representatives release or waive the foregoing restrictions in connection with a transfer of shares of Class A Common Stock held by any other signatory to a lock-up agreement, shares of Class A Common Stock held by the undersigned shall be immediately, fully and irrevocably released in the same manner and on the same terms from any remaining restrictions in this agreement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capacity and authority to enter into this agreement. 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one or more of the Designated Representatives withdraws or is terminated from, or declines to participate in, the Public Offering, all references in this agreement to the Designated Representatives shall refer to the remaining Designated Representatives. If the Designated Representatives all withdraw, are terminated from or decline to participate in the Public Offering, all references in this agreement to the Designated Representatives shall refer to the lead left book runner in the Public Offering (“Replacement Entity”), and in such event, any written consent, waiver or notice given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in connection with this agreement by or to such Replacement Entity shall be deemed to be sufficient and effective for all purposes under this agreement. The undersigned understands that, if (i) the Company files with the Securities and Exchange Commission a notice of withdrawal of the Registration Statement on Form S-1 (which covers the Shares) pursuant to Rule 477 promulgated under the Securities Act, (ii) the Representatives, on the one hand, or the Company, on the other hand, informs the other in writing, prior to the execution of the Underwriting Agreement, that they have or it has determined not to proceed with the Public Offering, (iii) the Underwriting Agreement (other than the provisions thereof which survive termination) shall terminate or be terminated prior to payment for and delivery of the Shares to be sold thereunder (other than pursuant to the Underwriters’ option thereunder to purchase additional Shares), or (iv) the Underwriting Agreement is not executed on or before September 30, 2026 (provided that the Company may, by written notice to the undersigned prior to such date, extend such date for a period of up to an additional three months), then, in each case, this agreement shall automatically, and without any action on the part of any other party, be of no further force and effect, and the undersigned shall be automatically released from all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and any claim, controversy or dispute arising under or related to this agreement shall be governed by and construed in accordance with the laws of the State of New York, without regard to the conflict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[NAME OF STOCKHOLDER / OFFICER/ DIRECTOR]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By: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0"/>
              <w:jc w:val="left"/>
              <w:rPr>
                <w:rFonts w:ascii="Times New Roman" w:hAnsi="Times New Roman"/>
                <w:sz w:val="20"/>
              </w:rPr>
            </w:pPr>
            <w:r>
              <w:rPr>
                <w:rFonts w:ascii="Times New Roman" w:hAnsi="Times New Roman"/>
                <w:sz w:val="20"/>
              </w:rPr>
              <w:t>Title: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If not signing in an individual capacity:</w:t>
            </w:r>
          </w:p>
          <w:p>
            <w:pPr>
              <w:pStyle w:val="TableContents"/>
              <w:pBdr>
                <w:bottom w:val="single" w:sz="2" w:space="1" w:color="000000"/>
              </w:pBdr>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of Authorized Signatory (Print)</w:t>
            </w:r>
          </w:p>
          <w:p>
            <w:pPr>
              <w:pStyle w:val="TableContents"/>
              <w:bidi w:val="0"/>
              <w:spacing w:before="0" w:after="20"/>
              <w:jc w:val="left"/>
              <w:rPr>
                <w:rFonts w:ascii="Times New Roman" w:hAnsi="Times New Roman"/>
                <w:i/>
                <w:sz w:val="20"/>
              </w:rPr>
            </w:pPr>
            <w:r>
              <w:rPr>
                <w:rFonts w:ascii="Times New Roman" w:hAnsi="Times New Roman"/>
                <w:i/>
                <w:sz w:val="20"/>
              </w:rPr>
              <w:t>(Indicate capacity of person signing if signing as a custodian, trustee, or on behalf of an entity).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WAIVER OF LOCK-UP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 20__ </w:t>
      </w:r>
    </w:p>
    <w:p>
      <w:pPr>
        <w:pStyle w:val="TextBody"/>
        <w:bidi w:val="0"/>
        <w:spacing w:before="240" w:after="0"/>
        <w:jc w:val="left"/>
        <w:rPr>
          <w:rFonts w:ascii="Times New Roman" w:hAnsi="Times New Roman"/>
          <w:sz w:val="20"/>
        </w:rPr>
      </w:pPr>
      <w:r>
        <w:rPr>
          <w:rFonts w:ascii="Times New Roman" w:hAnsi="Times New Roman"/>
          <w:sz w:val="20"/>
        </w:rPr>
        <w:t xml:space="preserve">[Name and Address of </w:t>
      </w:r>
    </w:p>
    <w:p>
      <w:pPr>
        <w:pStyle w:val="TextBody"/>
        <w:bidi w:val="0"/>
        <w:spacing w:before="0" w:after="0"/>
        <w:jc w:val="left"/>
        <w:rPr>
          <w:rFonts w:ascii="Times New Roman" w:hAnsi="Times New Roman"/>
          <w:sz w:val="20"/>
        </w:rPr>
      </w:pPr>
      <w:r>
        <w:rPr>
          <w:rFonts w:ascii="Times New Roman" w:hAnsi="Times New Roman"/>
          <w:sz w:val="20"/>
        </w:rPr>
        <w:t xml:space="preserve">Officer or Director </w:t>
      </w:r>
    </w:p>
    <w:p>
      <w:pPr>
        <w:pStyle w:val="TextBody"/>
        <w:bidi w:val="0"/>
        <w:spacing w:before="0" w:after="0"/>
        <w:jc w:val="left"/>
        <w:rPr>
          <w:rFonts w:ascii="Times New Roman" w:hAnsi="Times New Roman"/>
          <w:sz w:val="20"/>
        </w:rPr>
      </w:pPr>
      <w:r>
        <w:rPr>
          <w:rFonts w:ascii="Times New Roman" w:hAnsi="Times New Roman"/>
          <w:sz w:val="20"/>
        </w:rPr>
        <w:t xml:space="preserve">Requesting Waiver] </w:t>
      </w:r>
    </w:p>
    <w:p>
      <w:pPr>
        <w:pStyle w:val="TextBody"/>
        <w:bidi w:val="0"/>
        <w:spacing w:before="240" w:after="0"/>
        <w:jc w:val="left"/>
        <w:rPr>
          <w:rFonts w:ascii="Times New Roman" w:hAnsi="Times New Roman"/>
          <w:sz w:val="20"/>
        </w:rPr>
      </w:pPr>
      <w:r>
        <w:rPr>
          <w:rFonts w:ascii="Times New Roman" w:hAnsi="Times New Roman"/>
          <w:sz w:val="20"/>
        </w:rPr>
        <w:t xml:space="preserve">Dear Mr./Ms. [Name]: </w:t>
      </w:r>
    </w:p>
    <w:p>
      <w:pPr>
        <w:pStyle w:val="TextBody"/>
        <w:bidi w:val="0"/>
        <w:spacing w:before="120" w:after="0"/>
        <w:jc w:val="left"/>
        <w:rPr>
          <w:rFonts w:ascii="Times New Roman" w:hAnsi="Times New Roman"/>
          <w:sz w:val="20"/>
        </w:rPr>
      </w:pPr>
      <w:r>
        <w:rPr>
          <w:rFonts w:ascii="Times New Roman" w:hAnsi="Times New Roman"/>
          <w:sz w:val="20"/>
        </w:rPr>
        <w:t>This letter is being delivered to [Morgan Stanley &amp; Co. LLC, Citigroup Global Markets Inc. and UBS Securities LLC] in connection with the offering by ITG, Inc. (the “</w:t>
      </w:r>
      <w:r>
        <w:rPr>
          <w:rFonts w:ascii="Times New Roman" w:hAnsi="Times New Roman"/>
          <w:b/>
          <w:sz w:val="20"/>
        </w:rPr>
        <w:t>Company</w:t>
      </w:r>
      <w:r>
        <w:rPr>
          <w:rFonts w:ascii="Times New Roman" w:hAnsi="Times New Roman"/>
          <w:sz w:val="20"/>
        </w:rPr>
        <w:t>”) of _____ shares of Class A common stock, $0.001 par value (the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of the Company and the lock-up agreement dated ____, 2026 (the “</w:t>
      </w:r>
      <w:r>
        <w:rPr>
          <w:rFonts w:ascii="Times New Roman" w:hAnsi="Times New Roman"/>
          <w:b/>
          <w:sz w:val="20"/>
        </w:rPr>
        <w:t>Lock-up Agreement</w:t>
      </w:r>
      <w:r>
        <w:rPr>
          <w:rFonts w:ascii="Times New Roman" w:hAnsi="Times New Roman"/>
          <w:sz w:val="20"/>
        </w:rPr>
        <w:t>”), executed by you in connection with such offering, and your request for a [waiver] [release] dated ____, 20__, with respect to ____ shares of Class A Common Stock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Citigroup Global Markets Inc. and UBS Securities LLC]1 hereby agree to [waive] [release] the transfer restrictions set forth in the Lock-up Agreement, but only with respect to the Shares, effective _____, 20__;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[waived] [released] hereby, the Lock-up Agreement shall remain in full force and effect.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NTD</w:t>
            </w:r>
            <w:r>
              <w:rPr>
                <w:rFonts w:ascii="Times New Roman" w:hAnsi="Times New Roman"/>
                <w:sz w:val="20"/>
              </w:rPr>
              <w:t xml:space="preserve">: To be updated as required pursuant to Section 6 of the Underwriting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2"/>
        <w:gridCol w:w="60"/>
        <w:gridCol w:w="364"/>
        <w:gridCol w:w="60"/>
        <w:gridCol w:w="3196"/>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20"/>
              <w:jc w:val="left"/>
              <w:rPr>
                <w:rFonts w:ascii="Times New Roman" w:hAnsi="Times New Roman"/>
                <w:sz w:val="20"/>
              </w:rPr>
            </w:pPr>
            <w:r>
              <w:rPr>
                <w:rFonts w:ascii="Times New Roman" w:hAnsi="Times New Roman"/>
                <w:sz w:val="20"/>
              </w:rPr>
              <w:t>UBS Securities LLC]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Morgan Stanley &amp; Co. LLC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pBdr>
                <w:bottom w:val="single" w:sz="2" w:space="1" w:color="000000"/>
              </w:pBdr>
              <w:bidi w:val="0"/>
              <w:spacing w:before="0" w:after="20"/>
              <w:jc w:val="left"/>
              <w:rPr/>
            </w:pPr>
            <w:r>
              <w:rPr/>
              <w:t> </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Name: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Title:</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Citigroup Global Markets Inc.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pBdr>
                <w:bottom w:val="single" w:sz="2" w:space="1" w:color="000000"/>
              </w:pBdr>
              <w:bidi w:val="0"/>
              <w:spacing w:before="0" w:after="20"/>
              <w:jc w:val="left"/>
              <w:rPr/>
            </w:pPr>
            <w:r>
              <w:rPr/>
              <w:t> </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Name: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Title:</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UBS Securities LLC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pBdr>
                <w:bottom w:val="single" w:sz="2" w:space="1" w:color="000000"/>
              </w:pBdr>
              <w:bidi w:val="0"/>
              <w:spacing w:before="0" w:after="20"/>
              <w:jc w:val="left"/>
              <w:rPr/>
            </w:pPr>
            <w:r>
              <w:rPr/>
              <w:t> </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Name: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Title:</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pBdr>
                <w:bottom w:val="single" w:sz="2" w:space="1" w:color="000000"/>
              </w:pBdr>
              <w:bidi w:val="0"/>
              <w:spacing w:before="0" w:after="20"/>
              <w:jc w:val="left"/>
              <w:rPr/>
            </w:pPr>
            <w:r>
              <w:rPr/>
              <w:t> </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Name: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cc: ITG,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PRESS RELEASE </w:t>
      </w:r>
    </w:p>
    <w:p>
      <w:pPr>
        <w:pStyle w:val="TextBody"/>
        <w:bidi w:val="0"/>
        <w:spacing w:before="24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ITG, Inc. (the “</w:t>
      </w:r>
      <w:r>
        <w:rPr>
          <w:rFonts w:ascii="Times New Roman" w:hAnsi="Times New Roman"/>
          <w:b/>
          <w:sz w:val="20"/>
        </w:rPr>
        <w:t>Company</w:t>
      </w:r>
      <w:r>
        <w:rPr>
          <w:rFonts w:ascii="Times New Roman" w:hAnsi="Times New Roman"/>
          <w:sz w:val="20"/>
        </w:rPr>
        <w:t xml:space="preserve">”) announced today that [Morgan Stanley &amp; Co. LLC, Citigroup Global Markets Inc., UBS Securities LLC]1, representatives in the Company’s recent public sale of _____ shares of its Class A common stock are [waiving][releasing] a lock-up restriction with respect to ____ shares of the Company’s Class A common stock held by [certain officers or directors] [an officer or director] of the Company. The [waiver][release] will take effect on ____, 20__ , and the shares may be sold on or after such date. </w:t>
      </w:r>
    </w:p>
    <w:p>
      <w:pPr>
        <w:pStyle w:val="TextBody"/>
        <w:bidi w:val="0"/>
        <w:spacing w:before="240" w:after="0"/>
        <w:jc w:val="left"/>
        <w:rPr>
          <w:rFonts w:ascii="Times New Roman" w:hAnsi="Times New Roman"/>
          <w:b/>
          <w:sz w:val="20"/>
        </w:rPr>
      </w:pPr>
      <w:r>
        <w:rPr>
          <w:rFonts w:ascii="Times New Roman" w:hAnsi="Times New Roman"/>
          <w:b/>
          <w:sz w:val="20"/>
        </w:rPr>
        <w:t xml:space="preserve">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NTD</w:t>
            </w:r>
            <w:r>
              <w:rPr>
                <w:rFonts w:ascii="Times New Roman" w:hAnsi="Times New Roman"/>
                <w:sz w:val="20"/>
              </w:rPr>
              <w:t xml:space="preserve">: To be updated as required pursuant to Section 6 of the Underwriting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5" w:name="d88011dex31.htm"/>
      <w:bookmarkStart w:id="6" w:name="ksd88011dex31"/>
      <w:bookmarkEnd w:id="5"/>
      <w:bookmarkEnd w:id="6"/>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ITG, INC. </w:t>
      </w:r>
    </w:p>
    <w:p>
      <w:pPr>
        <w:pStyle w:val="TextBody"/>
        <w:bidi w:val="0"/>
        <w:spacing w:before="240" w:after="0"/>
        <w:jc w:val="left"/>
        <w:rPr>
          <w:rFonts w:ascii="Times New Roman" w:hAnsi="Times New Roman"/>
          <w:sz w:val="20"/>
        </w:rPr>
      </w:pPr>
      <w:r>
        <w:rPr>
          <w:rFonts w:ascii="Times New Roman" w:hAnsi="Times New Roman"/>
          <w:sz w:val="20"/>
        </w:rPr>
        <w:t>ITG, Inc. (the “</w:t>
      </w:r>
      <w:r>
        <w:rPr>
          <w:rFonts w:ascii="Times New Roman" w:hAnsi="Times New Roman"/>
          <w:b/>
          <w:sz w:val="20"/>
        </w:rPr>
        <w:t>Company</w:t>
      </w:r>
      <w:r>
        <w:rPr>
          <w:rFonts w:ascii="Times New Roman" w:hAnsi="Times New Roman"/>
          <w:sz w:val="20"/>
        </w:rPr>
        <w:t>”), a corporation organized and existing under the General Corporation Law of the State of Delaware (“</w:t>
      </w:r>
      <w:r>
        <w:rPr>
          <w:rFonts w:ascii="Times New Roman" w:hAnsi="Times New Roman"/>
          <w:b/>
          <w:sz w:val="20"/>
        </w:rPr>
        <w:t>DGCL</w:t>
      </w:r>
      <w:r>
        <w:rPr>
          <w:rFonts w:ascii="Times New Roman" w:hAnsi="Times New Roman"/>
          <w:sz w:val="20"/>
        </w:rPr>
        <w:t xml:space="preserve">”), does hereby certify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original Certificate of Incorporation of the Company was filed with the office of the Secretary of State of the State of Delaware on January 15, 2026 (the “</w:t>
            </w:r>
            <w:r>
              <w:rPr>
                <w:rFonts w:ascii="Times New Roman" w:hAnsi="Times New Roman"/>
                <w:b/>
                <w:sz w:val="20"/>
              </w:rPr>
              <w:t>Certificate of Incorporation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This Amended and Restated Certificate of Incorporation (as amended or modified from time to time, this “</w:t>
            </w:r>
            <w:r>
              <w:rPr>
                <w:rFonts w:ascii="Times New Roman" w:hAnsi="Times New Roman"/>
                <w:b/>
                <w:sz w:val="20"/>
              </w:rPr>
              <w:t>Amended and Restated Certificate of Incorporation</w:t>
            </w:r>
            <w:r>
              <w:rPr>
                <w:rFonts w:ascii="Times New Roman" w:hAnsi="Times New Roman"/>
                <w:sz w:val="20"/>
              </w:rPr>
              <w:t xml:space="preserve">”) was duly adopted by the written consent of the stockholders in accordance with Sections 228, 242 and 245 of the General Corporation Law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Amended and Restated Certificate of Incorporation restates and integrates and further amends the Certificate of Incorporation of the Company in its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text of the Certificate of Incorporation hereby is amended and restated in its entirety as follows: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Company is ITG, Inc.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OFFICE AND AGENT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Company’s registered office in the State of Delaware is 251 Little Falls Drive, in the City of Wilmington, County of New Castle, Delaware 19808. The name of its registered agent at such address is Corporation Service Company.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Company is to engage in any lawful act or activity for which corporations may now or hereafter be organized under the DGCL.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Authorized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total number of shares of all classes of capital stock which the Company shall have authority to issue is 1,205,000,000, which shall be divided into three classes as follows: 1,000,000,000 shares of Class A common stock, par value $0.001 per share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200,000,000 shares of Class B common stock, par value $0.001 per share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w:t>
      </w:r>
      <w:r>
        <w:rPr>
          <w:rFonts w:ascii="Times New Roman" w:hAnsi="Times New Roman"/>
          <w:sz w:val="20"/>
        </w:rPr>
        <w:t>” and, together with Class A Common Stock, the “</w:t>
      </w:r>
      <w:r>
        <w:rPr>
          <w:rFonts w:ascii="Times New Roman" w:hAnsi="Times New Roman"/>
          <w:b/>
          <w:sz w:val="20"/>
        </w:rPr>
        <w:t>Common Stock</w:t>
      </w:r>
      <w:r>
        <w:rPr>
          <w:rFonts w:ascii="Times New Roman" w:hAnsi="Times New Roman"/>
          <w:sz w:val="20"/>
        </w:rPr>
        <w:t>”); and 5,000,000 shares of preferred stock, par value $0.001 per share (“</w:t>
      </w:r>
      <w:r>
        <w:rPr>
          <w:rFonts w:ascii="Times New Roman" w:hAnsi="Times New Roman"/>
          <w:b/>
          <w:sz w:val="20"/>
        </w:rPr>
        <w:t>Preferred Stock</w:t>
      </w:r>
      <w:r>
        <w:rPr>
          <w:rFonts w:ascii="Times New Roman" w:hAnsi="Times New Roman"/>
          <w:sz w:val="20"/>
        </w:rPr>
        <w:t>”). Effective upon the effectiveness of the filing of this Certificate of Incorporation with the Secretary of State of the State of Delaware (the “</w:t>
      </w:r>
      <w:r>
        <w:rPr>
          <w:rFonts w:ascii="Times New Roman" w:hAnsi="Times New Roman"/>
          <w:b/>
          <w:sz w:val="20"/>
        </w:rPr>
        <w:t>Reclassification Effective Time</w:t>
      </w:r>
      <w:r>
        <w:rPr>
          <w:rFonts w:ascii="Times New Roman" w:hAnsi="Times New Roman"/>
          <w:sz w:val="20"/>
        </w:rPr>
        <w:t>”), each share of common stock, par value $0.01 per share (the “</w:t>
      </w:r>
      <w:r>
        <w:rPr>
          <w:rFonts w:ascii="Times New Roman" w:hAnsi="Times New Roman"/>
          <w:b/>
          <w:sz w:val="20"/>
        </w:rPr>
        <w:t>Old Common Stock</w:t>
      </w:r>
      <w:r>
        <w:rPr>
          <w:rFonts w:ascii="Times New Roman" w:hAnsi="Times New Roman"/>
          <w:sz w:val="20"/>
        </w:rPr>
        <w:t xml:space="preserve">”), issued and outstanding immediately prior to the Reclassification Effective Time, shall automatically, without further action on the part of the Company or any holder of such Old Common Stock, be reclassified as and become one (1) validly issued, fully paid and non-assessable share of Class A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Sections 242(d)(1) or (d)(2) of the DGCL, the number of authorized shares of Common Stock or Preferred Stock may be increased or decreased (but not below the number of shares thereof then-outstanding plus, in the case of Class A Common Stock, the number of shares of Class A Common Stock issuable in connection with (x) the redemption or exchange of all outstanding Common Units (as defined below) corresponding to shares of Class B Common Stock, pursuant to the LLC Agreement (as defined below), and (y) the exercise of outstanding options, warrants, exchange rights, conversion rights or similar rights for Class A Common Stock) by the affirmative vote of the holders of a majority in voting power of the stock of the Company entitled to vote thereon irrespective of the provisions of Section 242(b)(2) of the DGCL (or any successor provision thereto), and no vote of the holders of either the Common Stock or the Preferred Stock voting separately as a class shall be required therefor, unless a vote of any such holder is required pursuant to this Amended and Restated Certificate of Incorporation (including any certificate of designation relating to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4.2 Common Stock. The powers, preferences and rights of the Class A Common Stock and Class B Common Stock, and the qualifications, limitations or restrictions thereof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provided in this Amended and Restated Certificate of Incorporation or otherwise required by applicable law, the holders of shares of Class A Common Stock and Class B Common Stock shall at all times vote together as one class on all matters (including the election of directors) submitted to a vote or for the consent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Each holder of Class A Common Stock shall be entitled to one vote for each share of Class A Common Stock held as of the applicable record date on any matter that is submitted to a vote or for the consent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otherwise provided in this Amended and Restated Certificate of Incorporation or otherwise required by applicable law, each holder of Class B Common Stock shall be entitled to one vote for each share of Class B Common Stock held as of the applicable record date on any matter that is submitted to a vote or for the consent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The holders of shares of Class A Common Stock and Class B Common Stock shall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Dividends</w:t>
      </w:r>
      <w:r>
        <w:rPr>
          <w:rFonts w:ascii="Times New Roman" w:hAnsi="Times New Roman"/>
          <w:sz w:val="20"/>
        </w:rPr>
        <w:t>. Subject to the preferences applicable to any series of Preferred Stock, if any, outstanding at any time, the holders of Class A Common Stock shall be entitled to share equally, on a per share basis, in such dividends and other distributions of cash, property or shares of stock of the Company as may be declared by the Board of Directors of the Company (the “</w:t>
      </w:r>
      <w:r>
        <w:rPr>
          <w:rFonts w:ascii="Times New Roman" w:hAnsi="Times New Roman"/>
          <w:b/>
          <w:sz w:val="20"/>
        </w:rPr>
        <w:t>Board</w:t>
      </w:r>
      <w:r>
        <w:rPr>
          <w:rFonts w:ascii="Times New Roman" w:hAnsi="Times New Roman"/>
          <w:sz w:val="20"/>
        </w:rPr>
        <w:t xml:space="preserve">”) from time to time with respect to the Common Stock out of assets or funds of the Company legally available therefor. Other than in connection with a dividend declared by the Board in connection with a “poison pill” or similar stockholder rights plan, dividends shall not be declared or paid on the Class B Common Stock and the holders of Class B Common Stock shall not be entitled to any dividends or other distributions of cash, property or shares of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Liquidation</w:t>
      </w:r>
      <w:r>
        <w:rPr>
          <w:rFonts w:ascii="Times New Roman" w:hAnsi="Times New Roman"/>
          <w:sz w:val="20"/>
        </w:rPr>
        <w:t xml:space="preserve">. Subject to the preferences applicable to any series of Preferred Stock, if any, outstanding at any time, in the event of the voluntary or involuntary liquidation, dissolution, distribution of assets or winding up of the Company, all assets of the Company of whatever kind available for distribution to the holders of Common Stock shall be divided among and paid ratably to the holders of Class A Common Stock. The holders of Class B Common Stock shall not be entitled to any assets of the Company of whatever kind available for distribution to the holders of Common Stock in the event of voluntary or involuntary liquidation, dissolution, distribution of assets or winding up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Preemptive or Subscription Rights</w:t>
      </w:r>
      <w:r>
        <w:rPr>
          <w:rFonts w:ascii="Times New Roman" w:hAnsi="Times New Roman"/>
          <w:sz w:val="20"/>
        </w:rPr>
        <w:t xml:space="preserve">. No holder of shares of Common Stock shall be entitled to preemptive or subscription rights. For the avoidance of doubt, the foregoing shall not restrict the Company from entering into an agreement providing for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Split, Subdivision, Combination or Reclassification of Common Stock</w:t>
      </w:r>
      <w:r>
        <w:rPr>
          <w:rFonts w:ascii="Times New Roman" w:hAnsi="Times New Roman"/>
          <w:sz w:val="20"/>
        </w:rPr>
        <w:t xml:space="preserve">. In no event shall the shares of either Class A Common Stock or Class B Common Stock be split, subdivided, combined or reclassified, or a stock dividend paid upon either the Class A Common Stock or the Class B Common Stock, unless the outstanding shares of the other class shall be concurrently proportionately split, subdivided, combined or reclassified, or a stock dividend paid, in a manner that maintains the same proportionate equity ownership between the holders of the outstanding Class A Common Stock and Class B Common Stock on the record or effective date for such split, division or combination, reclassification or payment of stock dividend, unless, in each case, such action is necessary to maintain at all times a one-to-one ratio between either the number of Common Units owned, directly or indirectly, by the Company and the number of shares of Class A Common Stock or the number of Common Units owned by holders thereof (other than the Company and its subsidiaries) and the number of outstanding shares of Class B Common Stock. This </w:t>
      </w:r>
      <w:r>
        <w:rPr>
          <w:rFonts w:ascii="Times New Roman" w:hAnsi="Times New Roman"/>
          <w:sz w:val="20"/>
          <w:u w:val="single"/>
        </w:rPr>
        <w:t>Section 4.2(e)</w:t>
      </w:r>
      <w:r>
        <w:rPr>
          <w:rFonts w:ascii="Times New Roman" w:hAnsi="Times New Roman"/>
          <w:sz w:val="20"/>
        </w:rPr>
        <w:t xml:space="preserve"> shall be applied to maintain at all times (i) a one-to-one ratio between the number of Common Units owned, directly or indirectly, by the Company and the number of outstanding shares of Class A Common Stock or (ii) a one-to-one ratio between the number of Common Units owned by holders thereof (other than the Company and its subsidiaries) and the number of outstanding shares of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Shares Reserved for Issuance</w:t>
      </w:r>
      <w:r>
        <w:rPr>
          <w:rFonts w:ascii="Times New Roman" w:hAnsi="Times New Roman"/>
          <w:sz w:val="20"/>
        </w:rPr>
        <w:t xml:space="preserve">. The Company shall at all times reserve and keep available out of its authorized but unissued shares of Class A Common Stock, such number of shares of Class A Common Stock that shall from time to time be sufficient to effect the exchange of all outstanding Common Units (excluding those Common Units held by the Company) (which shall be accompanied by the cancellation of corresponding shares of Class B Common Stock) for shares of Class A Common Stock pursuant to the terms of the LLC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contained in this </w:t>
      </w:r>
      <w:r>
        <w:rPr>
          <w:rFonts w:ascii="Times New Roman" w:hAnsi="Times New Roman"/>
          <w:sz w:val="20"/>
          <w:u w:val="single"/>
        </w:rPr>
        <w:t>Section 4.2(f)</w:t>
      </w:r>
      <w:r>
        <w:rPr>
          <w:rFonts w:ascii="Times New Roman" w:hAnsi="Times New Roman"/>
          <w:sz w:val="20"/>
        </w:rPr>
        <w:t xml:space="preserve"> shall be construed to preclude the Company from satisfying its obligations in respect of the exchange of Common Units by delivery of shares of Class A Common Stock that are held in the treasury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Class 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From and after the effectiveness of this Amended and Restated Certificate of Incorporation with the Secretary of State of the State of Delaware (the “</w:t>
      </w:r>
      <w:r>
        <w:rPr>
          <w:rFonts w:ascii="Times New Roman" w:hAnsi="Times New Roman"/>
          <w:b/>
          <w:sz w:val="20"/>
        </w:rPr>
        <w:t>Effective Time</w:t>
      </w:r>
      <w:r>
        <w:rPr>
          <w:rFonts w:ascii="Times New Roman" w:hAnsi="Times New Roman"/>
          <w:sz w:val="20"/>
        </w:rPr>
        <w:t xml:space="preserve">”), shares of Class B Common Stock may be issued only to, and registered only in the name of, the Existing Opco LLC Owners (as defined below), their respective successors and assigns as well as their Permitted Transferees (as defined below) in accordance with this </w:t>
      </w:r>
      <w:r>
        <w:rPr>
          <w:rFonts w:ascii="Times New Roman" w:hAnsi="Times New Roman"/>
          <w:sz w:val="20"/>
          <w:u w:val="single"/>
        </w:rPr>
        <w:t>Section 4.2</w:t>
      </w:r>
      <w:r>
        <w:rPr>
          <w:rFonts w:ascii="Times New Roman" w:hAnsi="Times New Roman"/>
          <w:sz w:val="20"/>
        </w:rPr>
        <w:t xml:space="preserve"> (including all subsequent successors, assigns and Permitted Transferees) (the Existing Opco LLC Owners together with such Persons (as defined below), collectively, the “</w:t>
      </w:r>
      <w:r>
        <w:rPr>
          <w:rFonts w:ascii="Times New Roman" w:hAnsi="Times New Roman"/>
          <w:b/>
          <w:sz w:val="20"/>
        </w:rPr>
        <w:t>Permitted Class</w:t>
      </w:r>
      <w:r>
        <w:rPr>
          <w:rFonts w:ascii="Times New Roman" w:hAnsi="Times New Roman"/>
          <w:sz w:val="20"/>
        </w:rPr>
        <w:t> </w:t>
      </w:r>
      <w:r>
        <w:rPr>
          <w:rFonts w:ascii="Times New Roman" w:hAnsi="Times New Roman"/>
          <w:b/>
          <w:sz w:val="20"/>
        </w:rPr>
        <w:t>B Owners</w:t>
      </w:r>
      <w:r>
        <w:rPr>
          <w:rFonts w:ascii="Times New Roman" w:hAnsi="Times New Roman"/>
          <w:sz w:val="20"/>
        </w:rPr>
        <w:t>”) and the aggregate number of shares of Class B Common Stock at any time registered in the name of each such Permitted Class B Owner must be equal to the aggregate number of Common Units (as defined below) held of record at such time by such Permitted Class B Owner under the LLC Agreement (as defined below). As used in this Amended and Restated Certificate of Incorporation, (A) “</w:t>
      </w:r>
      <w:r>
        <w:rPr>
          <w:rFonts w:ascii="Times New Roman" w:hAnsi="Times New Roman"/>
          <w:b/>
          <w:sz w:val="20"/>
        </w:rPr>
        <w:t>Existing Opco LLC Owner</w:t>
      </w:r>
      <w:r>
        <w:rPr>
          <w:rFonts w:ascii="Times New Roman" w:hAnsi="Times New Roman"/>
          <w:sz w:val="20"/>
        </w:rPr>
        <w:t>” means each of the holders of Common Units (other than the Company and its subsidiaries) of ITG Parent LLC, as set forth on Schedule 2 of the LLC Agreement (as such Schedule 2 may be amended from time to time in accordance with the LLC Agreement), (B) “</w:t>
      </w:r>
      <w:r>
        <w:rPr>
          <w:rFonts w:ascii="Times New Roman" w:hAnsi="Times New Roman"/>
          <w:b/>
          <w:sz w:val="20"/>
        </w:rPr>
        <w:t>Common Unit</w:t>
      </w:r>
      <w:r>
        <w:rPr>
          <w:rFonts w:ascii="Times New Roman" w:hAnsi="Times New Roman"/>
          <w:sz w:val="20"/>
        </w:rPr>
        <w:t>” means a membership interest in ITG Parent LLC, authorized and issued under the Second Amended and Restated Limited Liability Company Agreement of ITG Parent LLC, dated on or about the date hereof, as such agreement may be further amended, restated, amended and restated, supplemented or otherwise modified from time to time (the “</w:t>
      </w:r>
      <w:r>
        <w:rPr>
          <w:rFonts w:ascii="Times New Roman" w:hAnsi="Times New Roman"/>
          <w:b/>
          <w:sz w:val="20"/>
        </w:rPr>
        <w:t>LLC Agreement</w:t>
      </w:r>
      <w:r>
        <w:rPr>
          <w:rFonts w:ascii="Times New Roman" w:hAnsi="Times New Roman"/>
          <w:sz w:val="20"/>
        </w:rPr>
        <w:t>”), and constituting a “Common Unit” as defined in such LLC Agreement, and (C) “</w:t>
      </w:r>
      <w:r>
        <w:rPr>
          <w:rFonts w:ascii="Times New Roman" w:hAnsi="Times New Roman"/>
          <w:b/>
          <w:sz w:val="20"/>
        </w:rPr>
        <w:t>Permitted Transferee</w:t>
      </w:r>
      <w:r>
        <w:rPr>
          <w:rFonts w:ascii="Times New Roman" w:hAnsi="Times New Roman"/>
          <w:sz w:val="20"/>
        </w:rPr>
        <w:t xml:space="preserve">” has the meaning given to it in the LLC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to the fullest extent permitted by law, undertake all necessary and appropriate action to ensure that the number of shares of Class B Common Stock issued by the Company at any time to, or otherwise held of record by, any Permitted Class B Owner shall be equal to the aggregate number of Common Units held of record by such Permitted Class B Owner in accordance with the terms of the LLC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Transfer of Class B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holder of Class B Common Stock may surrender shares of Class B Common Stock to the Company for cancellation for no consideration at any time. Following the surrender, or other acquisition, of any shares of Class B Common Stock to or by the Company, the Company will take all actions necessary to cancel and retire such shares and such shares shall not be reissued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4.3(a)</w:t>
      </w:r>
      <w:r>
        <w:rPr>
          <w:rFonts w:ascii="Times New Roman" w:hAnsi="Times New Roman"/>
          <w:sz w:val="20"/>
        </w:rPr>
        <w:t xml:space="preserve"> above, a holder of Class B Common Stock may transfer or assign shares of Class B Common Stock (or any legal or beneficial interest in such shares) (directly or indirectly, including by operation of law) only to a Permitted Transferee of such holder, and only if such holder also simultaneously transfers an equal number of such holder’s Common Units to such Permitted Transferee in compliance with the LLC Agreement. The transfer restrictions described in this </w:t>
      </w:r>
      <w:r>
        <w:rPr>
          <w:rFonts w:ascii="Times New Roman" w:hAnsi="Times New Roman"/>
          <w:sz w:val="20"/>
          <w:u w:val="single"/>
        </w:rPr>
        <w:t>Section 4.3(b)</w:t>
      </w:r>
      <w:r>
        <w:rPr>
          <w:rFonts w:ascii="Times New Roman" w:hAnsi="Times New Roman"/>
          <w:sz w:val="20"/>
        </w:rPr>
        <w:t xml:space="preserve"> are referred to as the “</w:t>
      </w:r>
      <w:r>
        <w:rPr>
          <w:rFonts w:ascii="Times New Roman" w:hAnsi="Times New Roman"/>
          <w:b/>
          <w:sz w:val="20"/>
        </w:rPr>
        <w:t>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Any purported transfer of shares of Class B Common Stock in violation of the Restrictions shall be null and void. If, notwithstanding the Restrictions, a Person shall, voluntarily or involuntarily, purportedly become or attempt to become, the purported owner (“</w:t>
      </w:r>
      <w:r>
        <w:rPr>
          <w:rFonts w:ascii="Times New Roman" w:hAnsi="Times New Roman"/>
          <w:b/>
          <w:sz w:val="20"/>
        </w:rPr>
        <w:t>Purported Owner</w:t>
      </w:r>
      <w:r>
        <w:rPr>
          <w:rFonts w:ascii="Times New Roman" w:hAnsi="Times New Roman"/>
          <w:sz w:val="20"/>
        </w:rPr>
        <w:t>”) of shares of Class B Common Stock in violation of the Restrictions, then the Purported Owner shall not obtain any rights in, to or with respect to such shares of Class B Common Stock (the “</w:t>
      </w:r>
      <w:r>
        <w:rPr>
          <w:rFonts w:ascii="Times New Roman" w:hAnsi="Times New Roman"/>
          <w:b/>
          <w:sz w:val="20"/>
        </w:rPr>
        <w:t>Restricted Shares</w:t>
      </w:r>
      <w:r>
        <w:rPr>
          <w:rFonts w:ascii="Times New Roman" w:hAnsi="Times New Roman"/>
          <w:sz w:val="20"/>
        </w:rPr>
        <w:t>”), and the purported transfer of the Restricted Shares to the Purported Owner shall not be recognized by the Company, the Company’s transfer agent (the “</w:t>
      </w:r>
      <w:r>
        <w:rPr>
          <w:rFonts w:ascii="Times New Roman" w:hAnsi="Times New Roman"/>
          <w:b/>
          <w:sz w:val="20"/>
        </w:rPr>
        <w:t>Transfer Agent</w:t>
      </w:r>
      <w:r>
        <w:rPr>
          <w:rFonts w:ascii="Times New Roman" w:hAnsi="Times New Roman"/>
          <w:sz w:val="20"/>
        </w:rPr>
        <w:t xml:space="preserve">”) or the Secretary of the Company, and each Restricted Share shall, to the fullest extent permitted by law, automatically, without any further action on the part of the Company, the holder thereof, the Purported Owner or any other party, lose all voting rights as set forth herein and become a non-voting share. </w:t>
      </w:r>
    </w:p>
    <w:p>
      <w:pPr>
        <w:pStyle w:val="TextBody"/>
        <w:bidi w:val="0"/>
        <w:spacing w:before="240" w:after="0"/>
        <w:jc w:val="left"/>
        <w:rPr>
          <w:rFonts w:ascii="Times New Roman" w:hAnsi="Times New Roman"/>
          <w:sz w:val="20"/>
        </w:rPr>
      </w:pPr>
      <w:r>
        <w:rPr>
          <w:rFonts w:ascii="Times New Roman" w:hAnsi="Times New Roman"/>
          <w:sz w:val="20"/>
        </w:rPr>
        <w:t xml:space="preserve">(d) Upon a determination by the Board that a Person has attempted or may attempt to transfer or to acquire Restricted Shares in violation of the Restrictions, the Company may take such action as it deems advisable to refuse to give effect to such transfer or acquisition on the books and records of the Company, including without limitation (i) to cause the Transfer Agent or the Secretary of the Company, as applicable, to not record the Purported Owner as the record owner of the Restricted Shares, (ii) to institute proceedings to enjoin or rescind any such transfer or acquisition, and (iii) to cause the Transfer Agent or the Secretary of the Company to transfer such Restricted Shares to the Company and thereafter cause such Restricted Shares to be canceled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(e) The Board may, to the extent permitted by law, from time to time establish, modify, amend or rescind, by bylaw or otherwise, regulations and procedures not inconsistent with the provisions of this </w:t>
      </w:r>
      <w:r>
        <w:rPr>
          <w:rFonts w:ascii="Times New Roman" w:hAnsi="Times New Roman"/>
          <w:sz w:val="20"/>
          <w:u w:val="single"/>
        </w:rPr>
        <w:t>Section 4.3</w:t>
      </w:r>
      <w:r>
        <w:rPr>
          <w:rFonts w:ascii="Times New Roman" w:hAnsi="Times New Roman"/>
          <w:sz w:val="20"/>
        </w:rPr>
        <w:t xml:space="preserve"> for determining whether any transfer or acquisition of shares of Class B Common Stock would violate the Restrictions and for the orderly application, administration and implementation of the provisions of this </w:t>
      </w:r>
      <w:r>
        <w:rPr>
          <w:rFonts w:ascii="Times New Roman" w:hAnsi="Times New Roman"/>
          <w:sz w:val="20"/>
          <w:u w:val="single"/>
        </w:rPr>
        <w:t>Section 4.3</w:t>
      </w:r>
      <w:r>
        <w:rPr>
          <w:rFonts w:ascii="Times New Roman" w:hAnsi="Times New Roman"/>
          <w:sz w:val="20"/>
        </w:rPr>
        <w:t xml:space="preserve">. Any such procedures and regulations shall be kept on file with the Secretary of the Company and with the Transfer Agent and shall be made available for inspection by and, upon written request shall be mailed to, holders of shares of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(f) All certificates or book entries representing shares of Class B Common Stock shall bear a legend substantially in the following form (or in such other form as the Board may determine): THESE SECURITIES REPRESENTED BY THIS [CERTIFICATE][BOOK ENTRY] ARE SUBJECT TO THE RESTRICTIONS (INCLUDING RESTRICTIONS ON TRANSFER) SET FORTH IN THE AMENDED AND RESTATED CERTIFICATE OF INCORPORATION OF THE COMPANY AS IT MAY BE AMENDED AND/OR RESTATED (A COPY OF WHICH IS ON FILE WITH THE SECRETARY OF THE COMPANY AND SHALL BE PROVIDED FREE OF CHARGE TO ANY STOCKHOLDER MAKING A REQUEST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Preferred Stock may be issued from time to time by the Company for such consideration as may be fixed by the Board. The Board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required by law, holders of any series of Preferred Stock shall be entitled to only such voting rights, if any, as shall expressly be granted thereto by this Amended and Restated Certificate of Incorporation (including any certificate of designation relating to such series of Preferred Stock).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THE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(a) Notwithstanding anything contained in this Amended and Restated Certificate of Incorporation to the contrary and subject to the terms of the Stockholders Agreement, from and after the date on which the Investor (as defined below) ceases to beneficially own at least 40% of the voting power of the outstanding shares of Common Stock (the “</w:t>
      </w:r>
      <w:r>
        <w:rPr>
          <w:rFonts w:ascii="Times New Roman" w:hAnsi="Times New Roman"/>
          <w:b/>
          <w:sz w:val="20"/>
        </w:rPr>
        <w:t>Trigger Event</w:t>
      </w:r>
      <w:r>
        <w:rPr>
          <w:rFonts w:ascii="Times New Roman" w:hAnsi="Times New Roman"/>
          <w:sz w:val="20"/>
        </w:rPr>
        <w:t xml:space="preserve">”), the following provisions in this Amended and Restated Certificate of Incorporation may be amended, altered, repealed or rescinded, in whole or in part, or any provision inconsistent therewith or herewith may be adopted, only by the affirmative vote of the holders of at least 66 2/3% in voting power of all the then-outstanding shares of Common Stock entitled to vote thereon, with holders of Class A Common Stock and Class B Common Stock voting together as a single class: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and clause (b) of </w:t>
      </w:r>
      <w:r>
        <w:rPr>
          <w:rFonts w:ascii="Times New Roman" w:hAnsi="Times New Roman"/>
          <w:sz w:val="20"/>
          <w:u w:val="single"/>
        </w:rPr>
        <w:t>Article XI</w:t>
      </w:r>
      <w:r>
        <w:rPr>
          <w:rFonts w:ascii="Times New Roman" w:hAnsi="Times New Roman"/>
          <w:sz w:val="20"/>
        </w:rPr>
        <w:t>. For the purposes of this Amended and Restated Certificate of Incorporation, beneficial ownership of shares shall be determined in accordance with Rule 13d-3 promulgated under the Securities Exchange Act of 1934, as amended (the “</w:t>
      </w:r>
      <w:r>
        <w:rPr>
          <w:rFonts w:ascii="Times New Roman" w:hAnsi="Times New Roman"/>
          <w:b/>
          <w:sz w:val="20"/>
        </w:rPr>
        <w:t>Exchange Act</w:t>
      </w:r>
      <w:r>
        <w:rPr>
          <w:rFonts w:ascii="Times New Roman" w:hAnsi="Times New Roman"/>
          <w:sz w:val="20"/>
        </w:rPr>
        <w:t xml:space="preserve">”). Notwithstanding the foregoing, any amendment (including by merger, consolidation or otherwise) to this Amended and Restated Certificate of Incorporation that gives holders of the Class B Common Stock (i) any rights to receive dividends or any other kind of distribution other than in connection with a liquidation, dissolution or winding up pursuant to </w:t>
      </w:r>
      <w:r>
        <w:rPr>
          <w:rFonts w:ascii="Times New Roman" w:hAnsi="Times New Roman"/>
          <w:sz w:val="20"/>
          <w:u w:val="single"/>
        </w:rPr>
        <w:t>Section 4.2(c)</w:t>
      </w:r>
      <w:r>
        <w:rPr>
          <w:rFonts w:ascii="Times New Roman" w:hAnsi="Times New Roman"/>
          <w:sz w:val="20"/>
        </w:rPr>
        <w:t xml:space="preserve">, (ii) any right to convert into or be exchanged for Class A Common Stock or (iii) any other economic rights shall, in addition to the requirements set forth herein, also require the affirmative vote of at least a majority of shares of Class A Common Stock voting separately as a class. For the purposes of this Amended and Restated Certificate of Incorporation, except for </w:t>
      </w:r>
      <w:r>
        <w:rPr>
          <w:rFonts w:ascii="Times New Roman" w:hAnsi="Times New Roman"/>
          <w:sz w:val="20"/>
          <w:u w:val="single"/>
        </w:rPr>
        <w:t>Article IX</w:t>
      </w:r>
      <w:r>
        <w:rPr>
          <w:rFonts w:ascii="Times New Roman" w:hAnsi="Times New Roman"/>
          <w:sz w:val="20"/>
        </w:rPr>
        <w:t xml:space="preserve"> or </w:t>
      </w:r>
      <w:r>
        <w:rPr>
          <w:rFonts w:ascii="Times New Roman" w:hAnsi="Times New Roman"/>
          <w:sz w:val="20"/>
          <w:u w:val="single"/>
        </w:rPr>
        <w:t>Article X</w:t>
      </w:r>
      <w:r>
        <w:rPr>
          <w:rFonts w:ascii="Times New Roman" w:hAnsi="Times New Roman"/>
          <w:sz w:val="20"/>
        </w:rPr>
        <w:t>, (w) “</w:t>
      </w:r>
      <w:r>
        <w:rPr>
          <w:rFonts w:ascii="Times New Roman" w:hAnsi="Times New Roman"/>
          <w:b/>
          <w:sz w:val="20"/>
        </w:rPr>
        <w:t>Affiliate</w:t>
      </w:r>
      <w:r>
        <w:rPr>
          <w:rFonts w:ascii="Times New Roman" w:hAnsi="Times New Roman"/>
          <w:sz w:val="20"/>
        </w:rPr>
        <w:t xml:space="preserve">” shall mean, with respect to any Person, any Person directly or indirectly controlling, controlled by or under common control with such Person (provided, for the avoidance of doubt, solely for the purposes of this Amended and Restated Certificate of Incorporation (except for </w:t>
      </w:r>
      <w:r>
        <w:rPr>
          <w:rFonts w:ascii="Times New Roman" w:hAnsi="Times New Roman"/>
          <w:sz w:val="20"/>
          <w:u w:val="single"/>
        </w:rPr>
        <w:t>Article IX</w:t>
      </w:r>
      <w:r>
        <w:rPr>
          <w:rFonts w:ascii="Times New Roman" w:hAnsi="Times New Roman"/>
          <w:sz w:val="20"/>
        </w:rPr>
        <w:t xml:space="preserve"> or </w:t>
      </w:r>
      <w:r>
        <w:rPr>
          <w:rFonts w:ascii="Times New Roman" w:hAnsi="Times New Roman"/>
          <w:sz w:val="20"/>
          <w:u w:val="single"/>
        </w:rPr>
        <w:t>Article X</w:t>
      </w:r>
      <w:r>
        <w:rPr>
          <w:rFonts w:ascii="Times New Roman" w:hAnsi="Times New Roman"/>
          <w:sz w:val="20"/>
        </w:rPr>
        <w:t>), Affiliates of the Investor shall include its employees in their capacities as such but shall exclude advisors, consultants, operating partners and similar service providers); (x) “</w:t>
      </w:r>
      <w:r>
        <w:rPr>
          <w:rFonts w:ascii="Times New Roman" w:hAnsi="Times New Roman"/>
          <w:b/>
          <w:sz w:val="20"/>
        </w:rPr>
        <w:t>Person</w:t>
      </w:r>
      <w:r>
        <w:rPr>
          <w:rFonts w:ascii="Times New Roman" w:hAnsi="Times New Roman"/>
          <w:sz w:val="20"/>
        </w:rPr>
        <w:t>” shall mean any individual, corporation, limited liability company, limited or general partnership, joint venture, association, joint-stock company, trust, unincorporated organization or other entity, whether domestic or foreign; (y) “</w:t>
      </w:r>
      <w:r>
        <w:rPr>
          <w:rFonts w:ascii="Times New Roman" w:hAnsi="Times New Roman"/>
          <w:b/>
          <w:sz w:val="20"/>
        </w:rPr>
        <w:t>control</w:t>
      </w:r>
      <w:r>
        <w:rPr>
          <w:rFonts w:ascii="Times New Roman" w:hAnsi="Times New Roman"/>
          <w:sz w:val="20"/>
        </w:rPr>
        <w:t>” (including the terms “</w:t>
      </w:r>
      <w:r>
        <w:rPr>
          <w:rFonts w:ascii="Times New Roman" w:hAnsi="Times New Roman"/>
          <w:b/>
          <w:sz w:val="20"/>
        </w:rPr>
        <w:t>controlled by</w:t>
      </w:r>
      <w:r>
        <w:rPr>
          <w:rFonts w:ascii="Times New Roman" w:hAnsi="Times New Roman"/>
          <w:sz w:val="20"/>
        </w:rPr>
        <w:t>” and “</w:t>
      </w:r>
      <w:r>
        <w:rPr>
          <w:rFonts w:ascii="Times New Roman" w:hAnsi="Times New Roman"/>
          <w:b/>
          <w:sz w:val="20"/>
        </w:rPr>
        <w:t>under common control with</w:t>
      </w:r>
      <w:r>
        <w:rPr>
          <w:rFonts w:ascii="Times New Roman" w:hAnsi="Times New Roman"/>
          <w:sz w:val="20"/>
        </w:rPr>
        <w:t>”), with respect to the relationship between or among two or more Persons, shall mean the possession, directly or indirectly, of the power to direct or cause the direction of the affairs or management of a Person, whether through the ownership of voting securities, by contract or otherwise; and (z) “</w:t>
      </w:r>
      <w:r>
        <w:rPr>
          <w:rFonts w:ascii="Times New Roman" w:hAnsi="Times New Roman"/>
          <w:b/>
          <w:sz w:val="20"/>
        </w:rPr>
        <w:t>Investor</w:t>
      </w:r>
      <w:r>
        <w:rPr>
          <w:rFonts w:ascii="Times New Roman" w:hAnsi="Times New Roman"/>
          <w:sz w:val="20"/>
        </w:rPr>
        <w:t xml:space="preserve">” shall mean any of Oaktree Capital Management L.P. and its Affiliates (including ITG Management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Board is expressly authorized to make, repeal, alter, amend and rescind, in whole or in part, the amended and restated bylaws of the Company (as in effect from time to time, the “</w:t>
      </w:r>
      <w:r>
        <w:rPr>
          <w:rFonts w:ascii="Times New Roman" w:hAnsi="Times New Roman"/>
          <w:b/>
          <w:sz w:val="20"/>
        </w:rPr>
        <w:t>Bylaws</w:t>
      </w:r>
      <w:r>
        <w:rPr>
          <w:rFonts w:ascii="Times New Roman" w:hAnsi="Times New Roman"/>
          <w:sz w:val="20"/>
        </w:rPr>
        <w:t xml:space="preserve">”) without the assent or vote of the stockholders in any manner not inconsistent with the laws of the State of Delaware or this Amended and Restated Certificate of Incorporation and subject to the terms of the Stockholders Agreement. Before the Trigger Event, the affirmative vote of the holders of a majority in voting power of all the then-outstanding shares of Common Stock entitled to vote thereon, with both Class A and Class B Common Stock holders voting together as a single class, shall be required in order for the stockholders of the Company to alter, amend, repeal or rescind, in whole or in part, any provision of the Bylaws or to adopt any provision inconsistent therewith. Notwithstanding anything to the contrary contained in this Amended and Restated Certificate of Incorporation or any provision of law which might otherwise permit a lesser vote of the stockholders, from and after the Trigger Event, in addition to any vote of the holders of any class or series of capital stock of the Company required herein (including any certificate of designation relating to any series of Preferred Stock), or pursuant to the Bylaws or applicable law, the affirmative vote of the holders of at least 66 2/3% in voting power of all the then-outstanding shares of Common Stock of the Company entitled to vote thereon, with both Class A and Class B Common Stock holders voting together as a single class, shall be required in order for the stockholders of the Company to alter, amend, repeal or rescind, in whole or in part, any provision of the Bylaws or to adopt any provision inconsistent therewith. No Bylaw hereafter legally altered, amended or repealed shall invalidate any prior act of the directors or officers of the Company that would have been valid if such Bylaw had not been altered, amended or repealed.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Amended and Restated Certificate of Incorporation or the DGCL, the business and affairs of the Company shall be managed by or under the direction of the Board. Except as otherwise provided for or fixed pursuant to the provisions of </w:t>
      </w:r>
      <w:r>
        <w:rPr>
          <w:rFonts w:ascii="Times New Roman" w:hAnsi="Times New Roman"/>
          <w:sz w:val="20"/>
          <w:u w:val="single"/>
        </w:rPr>
        <w:t>Article IV</w:t>
      </w:r>
      <w:r>
        <w:rPr>
          <w:rFonts w:ascii="Times New Roman" w:hAnsi="Times New Roman"/>
          <w:sz w:val="20"/>
        </w:rPr>
        <w:t xml:space="preserve"> hereof (including any certificate of designation with respect to any series of Preferred Stock) and this </w:t>
      </w:r>
      <w:r>
        <w:rPr>
          <w:rFonts w:ascii="Times New Roman" w:hAnsi="Times New Roman"/>
          <w:sz w:val="20"/>
          <w:u w:val="single"/>
        </w:rPr>
        <w:t>Article VI</w:t>
      </w:r>
      <w:r>
        <w:rPr>
          <w:rFonts w:ascii="Times New Roman" w:hAnsi="Times New Roman"/>
          <w:sz w:val="20"/>
        </w:rPr>
        <w:t xml:space="preserve"> relating to the rights of the holders of any series of Preferred Stock to elect additional directors, and subject to the applicable requirements of the Stockholders Agreement, dated on or about the date hereof, by and among the Company and certain stockholders of the Company from time to time party thereto (as the same may be amended, restated, supplemented and/or otherwise modified from time to time in accordance with its terms, the “</w:t>
      </w:r>
      <w:r>
        <w:rPr>
          <w:rFonts w:ascii="Times New Roman" w:hAnsi="Times New Roman"/>
          <w:b/>
          <w:sz w:val="20"/>
        </w:rPr>
        <w:t>Stockholders Agreement</w:t>
      </w:r>
      <w:r>
        <w:rPr>
          <w:rFonts w:ascii="Times New Roman" w:hAnsi="Times New Roman"/>
          <w:sz w:val="20"/>
        </w:rPr>
        <w:t>”), the total number of directors constituting the whole Board shall be determined from time to time exclusively by resolution adopted by the Board or as provided in the Stockholders Agreement.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Times New Roman" w:hAnsi="Times New Roman"/>
          <w:b/>
          <w:sz w:val="20"/>
        </w:rPr>
        <w:t>IPO Date</w:t>
      </w:r>
      <w:r>
        <w:rPr>
          <w:rFonts w:ascii="Times New Roman" w:hAnsi="Times New Roman"/>
          <w:sz w:val="20"/>
        </w:rPr>
        <w:t xml:space="preserve">”), Class II directors shall initially serve for a term expiring at the second annual meeting of stockholders following the IPO Date and Class III directors shall initially serve for a term expiring at the third annual meeting of stockholders following the IPO Date. Subject to the rights granted to the holders of any one or more series of Preferred Stock then outstanding, the directors shall be elected by a plurality of the votes cast.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Any such director shall hold office until the annual meeting at which his or her term expires and until his or her successor shall be elected and qualified, or his or her earlier death, resignation, retirement, disqualification or removal from office. Subject to the applicable requirements of the Stockholders Agreement and applicable law, the Board is authorized to assign members of the Board to their respective class.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rights granted to the holders of any one or more series of Preferred Stock then outstanding and the terms of the Stockholders Agreement, any newly-created directorship on the Board that results from an increase in the number of directors and any vacancy occurring in the Board (whether by death, resignation, retirement, disqualification, removal or other cause) shall be filled by a majority of the directors then in office (other than directors elected by the holders of any series of Preferred Stock, voting separately as a series or together with one or more series, as the case may be), even if less than a quorum, or by a sole remaining director or by the stockholders; </w:t>
      </w:r>
      <w:r>
        <w:rPr>
          <w:rFonts w:ascii="Times New Roman" w:hAnsi="Times New Roman"/>
          <w:i/>
          <w:sz w:val="20"/>
        </w:rPr>
        <w:t>provided, however,</w:t>
      </w:r>
      <w:r>
        <w:rPr>
          <w:rFonts w:ascii="Times New Roman" w:hAnsi="Times New Roman"/>
          <w:sz w:val="20"/>
        </w:rPr>
        <w:t xml:space="preserve"> that, subject to the rights granted to holders of any one or more series of Preferred Stock then outstanding and the terms of the Stockholders Agreement, from and after the Trigger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newly-created directorship on the Board that results from an increase in the number of directors and any vacancy occurring on the Board shall be filled only by a majority of the directors then in office (other than directors elected by the holders of any series of Preferred Stock, voting separately as a series or together with one or more series, as the case may be), even if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of the Stockholders Agreement, any or all of the directors (other than the directors elected by the holders of any series of Preferred Stock of the Company, voting separately as a series or together with one or more other such series, as the case may be) may be removed at any time either with or without cause by the affirmative vote of a majority in voting power of all outstanding shares of Common Stock entitled to vote thereon, with both Class A and Class B Common Stock holders voting together as a single class; </w:t>
      </w:r>
      <w:r>
        <w:rPr>
          <w:rFonts w:ascii="Times New Roman" w:hAnsi="Times New Roman"/>
          <w:i/>
          <w:sz w:val="20"/>
        </w:rPr>
        <w:t>provided, however</w:t>
      </w:r>
      <w:r>
        <w:rPr>
          <w:rFonts w:ascii="Times New Roman" w:hAnsi="Times New Roman"/>
          <w:sz w:val="20"/>
        </w:rPr>
        <w:t xml:space="preserve">, that from and after the Trigger Event, any such director or all such directors may be removed only for cause and only by the affirmative vote of the holders of at least 66 2/3% in voting power of all the then-outstanding shares of Common Stock of the Company entitled to vote thereon, with both Class A and Class B Common Stock holders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(d) Elections of directors need not be by written ballot unless the Bylaws shall so provide. </w:t>
      </w:r>
    </w:p>
    <w:p>
      <w:pPr>
        <w:pStyle w:val="TextBody"/>
        <w:bidi w:val="0"/>
        <w:spacing w:before="240" w:after="0"/>
        <w:jc w:val="left"/>
        <w:rPr>
          <w:rFonts w:ascii="Times New Roman" w:hAnsi="Times New Roman"/>
          <w:sz w:val="20"/>
        </w:rPr>
      </w:pPr>
      <w:r>
        <w:rPr>
          <w:rFonts w:ascii="Times New Roman" w:hAnsi="Times New Roman"/>
          <w:sz w:val="20"/>
        </w:rPr>
        <w:t xml:space="preserve">(e) During any period when the holders of any series of Preferred Stock, voting separately as a series or together with one or more series, as the case may be, have the right to elect additional directors, then, notwithstanding </w:t>
      </w:r>
      <w:r>
        <w:rPr>
          <w:rFonts w:ascii="Times New Roman" w:hAnsi="Times New Roman"/>
          <w:sz w:val="20"/>
          <w:u w:val="single"/>
        </w:rPr>
        <w:t>Section (a)</w:t>
      </w:r>
      <w:r>
        <w:rPr>
          <w:rFonts w:ascii="Times New Roman" w:hAnsi="Times New Roman"/>
          <w:sz w:val="20"/>
        </w:rPr>
        <w:t xml:space="preserve"> of this </w:t>
      </w:r>
      <w:r>
        <w:rPr>
          <w:rFonts w:ascii="Times New Roman" w:hAnsi="Times New Roman"/>
          <w:sz w:val="20"/>
          <w:u w:val="single"/>
        </w:rPr>
        <w:t>Article VI</w:t>
      </w:r>
      <w:r>
        <w:rPr>
          <w:rFonts w:ascii="Times New Roman" w:hAnsi="Times New Roman"/>
          <w:sz w:val="20"/>
        </w:rPr>
        <w:t xml:space="preserve">, upon commencement and for the duration of the period during which such right continues: (i) the then otherwise total authorized number of directors that may be elected by the Company pursuant to </w:t>
      </w:r>
      <w:r>
        <w:rPr>
          <w:rFonts w:ascii="Times New Roman" w:hAnsi="Times New Roman"/>
          <w:sz w:val="20"/>
          <w:u w:val="single"/>
        </w:rPr>
        <w:t>Section (a)</w:t>
      </w:r>
      <w:r>
        <w:rPr>
          <w:rFonts w:ascii="Times New Roman" w:hAnsi="Times New Roman"/>
          <w:sz w:val="20"/>
        </w:rPr>
        <w:t xml:space="preserve"> of this </w:t>
      </w:r>
      <w:r>
        <w:rPr>
          <w:rFonts w:ascii="Times New Roman" w:hAnsi="Times New Roman"/>
          <w:sz w:val="20"/>
          <w:u w:val="single"/>
        </w:rPr>
        <w:t>Article VI</w:t>
      </w:r>
      <w:r>
        <w:rPr>
          <w:rFonts w:ascii="Times New Roman" w:hAnsi="Times New Roman"/>
          <w:sz w:val="20"/>
        </w:rPr>
        <w:t xml:space="preserve">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The term of office, removal and other features of such directorships shall be governed by the terms of this Amended and Restated Certificate of Incorporation (including any certificate of designation relating to any series of Preferred Stock) applicable thereto.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Company shall be reduced accordingly.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LIMITATION OF DIRECTOR AND OFFICER LIABILITY </w:t>
      </w:r>
    </w:p>
    <w:p>
      <w:pPr>
        <w:pStyle w:val="TextBody"/>
        <w:bidi w:val="0"/>
        <w:spacing w:before="240" w:after="0"/>
        <w:jc w:val="left"/>
        <w:rPr>
          <w:rFonts w:ascii="Times New Roman" w:hAnsi="Times New Roman"/>
          <w:sz w:val="20"/>
        </w:rPr>
      </w:pPr>
      <w:r>
        <w:rPr>
          <w:rFonts w:ascii="Times New Roman" w:hAnsi="Times New Roman"/>
          <w:sz w:val="20"/>
        </w:rPr>
        <w:t xml:space="preserve">(a) To the fullest extent permitted by the DGCL as it now exists, a director or officer of the Company shall not be personally liable to the Company or its stockholders for monetary damages for breach of fiduciary duty owed to the Company or its stockholders. For the purposes of this Article VII, “officer” shall have the meaning provided in Section 102(b)(7) of the DGCL, as it presently exists.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amendment nor repeal of this </w:t>
      </w:r>
      <w:r>
        <w:rPr>
          <w:rFonts w:ascii="Times New Roman" w:hAnsi="Times New Roman"/>
          <w:sz w:val="20"/>
          <w:u w:val="single"/>
        </w:rPr>
        <w:t>Article VII</w:t>
      </w:r>
      <w:r>
        <w:rPr>
          <w:rFonts w:ascii="Times New Roman" w:hAnsi="Times New Roman"/>
          <w:sz w:val="20"/>
        </w:rPr>
        <w:t xml:space="preserve">, nor the adoption of any provision of this Amended and Restated Certificate of Incorporation, nor, to the fullest extent permitted by the DGCL, any modification of law shall eliminate, reduce or otherwise adversely affect any right or protection of a current or former director or officer of the Company existing at the time of such amendment, repeal, adoption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(c) To the fullest extent permitted by applicable law, the Company shall indemnify (and provide advancement of expenses to) directors and officers of the Company from and against any and all liabilities, costs, expenses or damages that they may incur on account of, related to, or in connection with, directly or indirectly, their service to the Company. The Company may indemnify (and provide advancement of expenses to) employees and agents of the Company (and any other persons to which the DGCL permits the Company to provide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CONSENT OF STOCKHOLDERS IN LIEU OF MEETING; ANNUAL AND SPECIAL 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Trigger Event, any action required or permitted to be taken at any annual or special meeting of stockholders of the Company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Company by delivery to its registered office in the State of Delaware, its principal place of business, or an officer or agent of the Company having custody of the books in which proceedings of meetings of stockholders are recorded. Delivery made to the Company’s registered office shall be made by hand, overnight courier or by certified or registered mail, return receipt requested. From and after the Trigger Event, any action required or permitted to be taken by the stockholders of the Company must be effected at a duly called annual or special meeting of such holders and may not be effected by any consent in writing by such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action required or permitted to be taken by the holders of Preferred Stock, voting separately as a series or together with one or more series, as the case may be, may be taken without a meeting, without prior notice and without a vote, to the extent expressly so provided by the applicable certificate of designation relating to such series of Preferred Stock. </w:t>
      </w:r>
    </w:p>
    <w:p>
      <w:pPr>
        <w:pStyle w:val="TextBody"/>
        <w:bidi w:val="0"/>
        <w:spacing w:before="240" w:after="0"/>
        <w:jc w:val="left"/>
        <w:rPr>
          <w:rFonts w:ascii="Times New Roman" w:hAnsi="Times New Roman"/>
          <w:sz w:val="20"/>
        </w:rPr>
      </w:pPr>
      <w:r>
        <w:rPr>
          <w:rFonts w:ascii="Times New Roman" w:hAnsi="Times New Roman"/>
          <w:sz w:val="20"/>
        </w:rPr>
        <w:t>(b) Prior to the Trigger Event and except as otherwise required by law and subject to the rights of the holders of any series of Preferred Stock, special meetings of the stockholders of the Company for any purpose or purposes may be called by or at the direction of the Board or the Chair of the Board, and at the request of the Investor. From and after the Trigger Event, special meetings of the stockholders of the Company for any purpose or purposes may only be called by the Board or the Chair of the Board. The Chair of the Board or the Board may postpone, reschedule or cancel any special meeting of stockholders previously called by any of them; </w:t>
      </w:r>
      <w:r>
        <w:rPr>
          <w:rFonts w:ascii="Times New Roman" w:hAnsi="Times New Roman"/>
          <w:i/>
          <w:sz w:val="20"/>
        </w:rPr>
        <w:t>provided, however</w:t>
      </w:r>
      <w:r>
        <w:rPr>
          <w:rFonts w:ascii="Times New Roman" w:hAnsi="Times New Roman"/>
          <w:sz w:val="20"/>
        </w:rPr>
        <w:t xml:space="preserve">, that with respect to any special meeting of stockholders of the Company previously scheduled at the request of the Investor, neither the Chair of the Board nor the Board shall postpone, reschedule or cancel such special meeting without the prior written consent of the Investor. </w:t>
      </w:r>
    </w:p>
    <w:p>
      <w:pPr>
        <w:pStyle w:val="TextBody"/>
        <w:bidi w:val="0"/>
        <w:spacing w:before="240" w:after="0"/>
        <w:jc w:val="left"/>
        <w:rPr>
          <w:rFonts w:ascii="Times New Roman" w:hAnsi="Times New Roman"/>
          <w:sz w:val="20"/>
        </w:rPr>
      </w:pPr>
      <w:r>
        <w:rPr>
          <w:rFonts w:ascii="Times New Roman" w:hAnsi="Times New Roman"/>
          <w:sz w:val="20"/>
        </w:rPr>
        <w:t xml:space="preserve">(c) An annual meeting of stockholders for the election of directors to succeed those whose terms expire and for the transaction of such other business as may properly come before the meeting, shall be held at such place, if any, on such date, and at such time as shall be fixed in the manner provided in the Bylaws.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COMPETITION AND CORPORATE OPPORTUNITIES </w:t>
      </w:r>
    </w:p>
    <w:p>
      <w:pPr>
        <w:pStyle w:val="TextBody"/>
        <w:bidi w:val="0"/>
        <w:spacing w:before="240" w:after="0"/>
        <w:jc w:val="left"/>
        <w:rPr>
          <w:rFonts w:ascii="Times New Roman" w:hAnsi="Times New Roman"/>
          <w:sz w:val="20"/>
        </w:rPr>
      </w:pPr>
      <w:r>
        <w:rPr>
          <w:rFonts w:ascii="Times New Roman" w:hAnsi="Times New Roman"/>
          <w:sz w:val="20"/>
        </w:rPr>
        <w:t>(a) In recognition and anticipation that (i) certain directors, principals, members, officers, associated funds, employees and/or other representatives of the Investor and its Affiliates (as defined below) may serve as directors, officers or agents of the Company, (ii) the Investor and its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and (iii) members of the Board who are not employees of the Company (“</w:t>
      </w:r>
      <w:r>
        <w:rPr>
          <w:rFonts w:ascii="Times New Roman" w:hAnsi="Times New Roman"/>
          <w:b/>
          <w:sz w:val="20"/>
        </w:rPr>
        <w:t>Non-Employee Directors</w:t>
      </w:r>
      <w:r>
        <w:rPr>
          <w:rFonts w:ascii="Times New Roman" w:hAnsi="Times New Roman"/>
          <w:sz w:val="20"/>
        </w:rPr>
        <w:t xml:space="preserve">”) and their respective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of this </w:t>
      </w:r>
      <w:r>
        <w:rPr>
          <w:rFonts w:ascii="Times New Roman" w:hAnsi="Times New Roman"/>
          <w:sz w:val="20"/>
          <w:u w:val="single"/>
        </w:rPr>
        <w:t>Article IX</w:t>
      </w:r>
      <w:r>
        <w:rPr>
          <w:rFonts w:ascii="Times New Roman" w:hAnsi="Times New Roman"/>
          <w:sz w:val="20"/>
        </w:rPr>
        <w:t xml:space="preserve"> are set forth to regulate and define the conduct of certain affairs of the Company with respect to certain classes or categories of business opportunities as they may involve the Investor, the Non-Employee Directors or their respective Affiliates and the powers, rights, duties and liabilities of the Company and its directors, officers and stockholders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None of (i) the Investor or any of its Affiliates or (ii) any Non-Employee Director (including any Non-Employee Director who serves as an officer of the Company in both his or her director and officer capacities) or his or her Affiliates (the Persons (as defined below) identified in (i) and (ii) above being referred to, collectively, as “</w:t>
      </w:r>
      <w:r>
        <w:rPr>
          <w:rFonts w:ascii="Times New Roman" w:hAnsi="Times New Roman"/>
          <w:b/>
          <w:sz w:val="20"/>
        </w:rPr>
        <w:t>Identified Persons</w:t>
      </w:r>
      <w:r>
        <w:rPr>
          <w:rFonts w:ascii="Times New Roman" w:hAnsi="Times New Roman"/>
          <w:sz w:val="20"/>
        </w:rPr>
        <w:t>” and, individually, as an “</w:t>
      </w:r>
      <w:r>
        <w:rPr>
          <w:rFonts w:ascii="Times New Roman" w:hAnsi="Times New Roman"/>
          <w:b/>
          <w:sz w:val="20"/>
        </w:rPr>
        <w:t>Identified Person</w:t>
      </w:r>
      <w:r>
        <w:rPr>
          <w:rFonts w:ascii="Times New Roman" w:hAnsi="Times New Roman"/>
          <w:sz w:val="20"/>
        </w:rPr>
        <w:t xml:space="preserve">”) shall, to the fullest extent permitted by law, have any duty to refrain from directly or indirectly (1) engaging in the same or similar business activities or lines of business in which the Company or any of its Affiliates now engages or proposes to engage or (2) otherwise competing with the Company or any of its Affiliates, and, to the fullest extent permitted by law, no Identified Person shall be liable to the Company or its stockholders or to any Affiliate of the Company for breach of any fiduciary duty solely by reason of the fact that such Identified Person engages in any such activities. To the fullest extent permitted by law, the Company hereby renounces any interest or expectancy in, or right to be offered an opportunity to participate in, any business opportunity which may be a corporate opportunity for an Identified Person and the Company or any of its Affiliates, except as provided in </w:t>
      </w:r>
      <w:r>
        <w:rPr>
          <w:rFonts w:ascii="Times New Roman" w:hAnsi="Times New Roman"/>
          <w:sz w:val="20"/>
          <w:u w:val="single"/>
        </w:rPr>
        <w:t>Section (d)</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Subject to </w:t>
      </w:r>
      <w:r>
        <w:rPr>
          <w:rFonts w:ascii="Times New Roman" w:hAnsi="Times New Roman"/>
          <w:sz w:val="20"/>
          <w:u w:val="single"/>
        </w:rPr>
        <w:t>Section (d)</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in the event that any Identified Person acquires knowledge of a potential transaction or other matter or business opportunity which may be a corporate opportunity for itself, herself or himself and the Company or any of its Affiliates, such Identified Person shall, to the fullest extent permitted by law, have no fiduciary duty or other duty (contractual or otherwise) to communicate, present or offer such transaction or other business opportunity to the Company or any of its Affiliates and, to the fullest extent permitted by law, shall not be liable to the Company or its stockholders or to any Affiliate of the Company for breach of any fiduciary duty or other duty (contractual or otherwise) as a stockholder, director or officer of the Company solely by reason of the fact that such Identified Person pursues or acquires such corporate opportunity for itself, herself or himself, offers or directs such corporate opportunity to another Person, or does not present such corporate opportunity to the Company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its Affiliates do not have any rights in and to the business ventures of any Identified Person, or the income or profits derived therefrom, and the Company agrees that each of the Identified Persons may do business with any potential or actual customer or supplier of the Company or may employ or otherwise engage any officer or employee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provisions of this </w:t>
      </w:r>
      <w:r>
        <w:rPr>
          <w:rFonts w:ascii="Times New Roman" w:hAnsi="Times New Roman"/>
          <w:sz w:val="20"/>
          <w:u w:val="single"/>
        </w:rPr>
        <w:t>Article IX</w:t>
      </w:r>
      <w:r>
        <w:rPr>
          <w:rFonts w:ascii="Times New Roman" w:hAnsi="Times New Roman"/>
          <w:sz w:val="20"/>
        </w:rPr>
        <w:t xml:space="preserve">, the Company does not renounce its interest in any corporate opportunity offered to any Non-Employee Director (including any Non-Employee Director who serves as an officer of the Company) if such opportunity is expressly offered to such person in writing solely in his or her capacity as a director or officer of the Company, and the provisions of </w:t>
      </w:r>
      <w:r>
        <w:rPr>
          <w:rFonts w:ascii="Times New Roman" w:hAnsi="Times New Roman"/>
          <w:sz w:val="20"/>
          <w:u w:val="single"/>
        </w:rPr>
        <w:t>Section (b)</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shall not apply to any such 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(e) In addition to and notwithstanding the foregoing provisions of this </w:t>
      </w:r>
      <w:r>
        <w:rPr>
          <w:rFonts w:ascii="Times New Roman" w:hAnsi="Times New Roman"/>
          <w:sz w:val="20"/>
          <w:u w:val="single"/>
        </w:rPr>
        <w:t>Article IX</w:t>
      </w:r>
      <w:r>
        <w:rPr>
          <w:rFonts w:ascii="Times New Roman" w:hAnsi="Times New Roman"/>
          <w:sz w:val="20"/>
        </w:rPr>
        <w:t xml:space="preserve">, a corporate opportunity shall not be deemed to be a potential corporate opportunity for the Company if it is a business opportunity that (i) the Company is neither financially or legally able, nor contractually permitted to undertake, (ii) from its nature, is not in the line of the Company’s business or is of no practical advantage to the Company or (iii) is one in which the Company has no interest or reasonable expectancy. </w:t>
      </w:r>
    </w:p>
    <w:p>
      <w:pPr>
        <w:pStyle w:val="TextBody"/>
        <w:bidi w:val="0"/>
        <w:spacing w:before="240" w:after="0"/>
        <w:jc w:val="left"/>
        <w:rPr>
          <w:rFonts w:ascii="Times New Roman" w:hAnsi="Times New Roman"/>
          <w:sz w:val="20"/>
        </w:rPr>
      </w:pPr>
      <w:r>
        <w:rPr>
          <w:rFonts w:ascii="Times New Roman" w:hAnsi="Times New Roman"/>
          <w:sz w:val="20"/>
        </w:rPr>
        <w:t xml:space="preserve">(f) For purposes of this </w:t>
      </w:r>
      <w:r>
        <w:rPr>
          <w:rFonts w:ascii="Times New Roman" w:hAnsi="Times New Roman"/>
          <w:sz w:val="20"/>
          <w:u w:val="single"/>
        </w:rPr>
        <w:t>Article IX</w:t>
      </w:r>
      <w:r>
        <w:rPr>
          <w:rFonts w:ascii="Times New Roman" w:hAnsi="Times New Roman"/>
          <w:sz w:val="20"/>
        </w:rPr>
        <w:t>, (i) “</w:t>
      </w:r>
      <w:r>
        <w:rPr>
          <w:rFonts w:ascii="Times New Roman" w:hAnsi="Times New Roman"/>
          <w:b/>
          <w:sz w:val="20"/>
        </w:rPr>
        <w:t>Affiliate</w:t>
      </w:r>
      <w:r>
        <w:rPr>
          <w:rFonts w:ascii="Times New Roman" w:hAnsi="Times New Roman"/>
          <w:sz w:val="20"/>
        </w:rPr>
        <w:t>” shall mean (a) in respect of any Investor, any Person that, directly or indirectly, is controlled by such Investor, controls such Investor or is under common control with such Investor and shall include any principal, member, director, partner, stockholder, officer, employee or other representative of any of the foregoing (other than the Company and any entity that is controlled by the Company), (b) in respect of a Non-Employee Director, any Person that, directly or indirectly, is controlled by such Non-Employee Director (other than the Company and any entity that is controlled by the Company) and (c) in respect of the Company, any Person that, directly or indirectly, is controlled by the Company; (ii) “</w:t>
      </w:r>
      <w:r>
        <w:rPr>
          <w:rFonts w:ascii="Times New Roman" w:hAnsi="Times New Roman"/>
          <w:b/>
          <w:sz w:val="20"/>
        </w:rPr>
        <w:t>Person</w:t>
      </w:r>
      <w:r>
        <w:rPr>
          <w:rFonts w:ascii="Times New Roman" w:hAnsi="Times New Roman"/>
          <w:sz w:val="20"/>
        </w:rPr>
        <w:t>” shall mean any individual, corporation, general or limited partnership, limited liability company, joint venture, trust, association or any other entity; (iii) “</w:t>
      </w:r>
      <w:r>
        <w:rPr>
          <w:rFonts w:ascii="Times New Roman" w:hAnsi="Times New Roman"/>
          <w:b/>
          <w:sz w:val="20"/>
        </w:rPr>
        <w:t>control</w:t>
      </w:r>
      <w:r>
        <w:rPr>
          <w:rFonts w:ascii="Times New Roman" w:hAnsi="Times New Roman"/>
          <w:sz w:val="20"/>
        </w:rPr>
        <w:t>” (including the terms “</w:t>
      </w:r>
      <w:r>
        <w:rPr>
          <w:rFonts w:ascii="Times New Roman" w:hAnsi="Times New Roman"/>
          <w:b/>
          <w:sz w:val="20"/>
        </w:rPr>
        <w:t>controlling</w:t>
      </w:r>
      <w:r>
        <w:rPr>
          <w:rFonts w:ascii="Times New Roman" w:hAnsi="Times New Roman"/>
          <w:sz w:val="20"/>
        </w:rPr>
        <w:t>,” “</w:t>
      </w:r>
      <w:r>
        <w:rPr>
          <w:rFonts w:ascii="Times New Roman" w:hAnsi="Times New Roman"/>
          <w:b/>
          <w:sz w:val="20"/>
        </w:rPr>
        <w:t>controlled by</w:t>
      </w:r>
      <w:r>
        <w:rPr>
          <w:rFonts w:ascii="Times New Roman" w:hAnsi="Times New Roman"/>
          <w:sz w:val="20"/>
        </w:rPr>
        <w:t>” and “</w:t>
      </w:r>
      <w:r>
        <w:rPr>
          <w:rFonts w:ascii="Times New Roman" w:hAnsi="Times New Roman"/>
          <w:b/>
          <w:sz w:val="20"/>
        </w:rPr>
        <w:t>under common control with</w:t>
      </w:r>
      <w:r>
        <w:rPr>
          <w:rFonts w:ascii="Times New Roman" w:hAnsi="Times New Roman"/>
          <w:sz w:val="20"/>
        </w:rPr>
        <w:t>”), with respect to the relationship between or among two or more Persons, shall mean the possession, directly or indirectly, of the power to direct or cause the direction of the affairs or management of a Person, whether through the ownership of voting securities, by contract or otherwise; and (iv) “</w:t>
      </w:r>
      <w:r>
        <w:rPr>
          <w:rFonts w:ascii="Times New Roman" w:hAnsi="Times New Roman"/>
          <w:b/>
          <w:sz w:val="20"/>
        </w:rPr>
        <w:t>Investor</w:t>
      </w:r>
      <w:r>
        <w:rPr>
          <w:rFonts w:ascii="Times New Roman" w:hAnsi="Times New Roman"/>
          <w:sz w:val="20"/>
        </w:rPr>
        <w:t xml:space="preserve">” shall mean any of Oaktree Capital Management L.P. and its Affiliates (including ITG Management Holdings, LLC). </w:t>
      </w:r>
    </w:p>
    <w:p>
      <w:pPr>
        <w:pStyle w:val="TextBody"/>
        <w:bidi w:val="0"/>
        <w:spacing w:before="240" w:after="0"/>
        <w:jc w:val="left"/>
        <w:rPr>
          <w:rFonts w:ascii="Times New Roman" w:hAnsi="Times New Roman"/>
          <w:sz w:val="20"/>
        </w:rPr>
      </w:pPr>
      <w:r>
        <w:rPr>
          <w:rFonts w:ascii="Times New Roman" w:hAnsi="Times New Roman"/>
          <w:sz w:val="20"/>
        </w:rPr>
        <w:t xml:space="preserve">(g) To the fullest extent permitted by law, any Person purchasing or otherwise acquiring any interest in any shares of capital stock of the Company shall be deemed to have notice of and to have consented to the provisions of this </w:t>
      </w:r>
      <w:r>
        <w:rPr>
          <w:rFonts w:ascii="Times New Roman" w:hAnsi="Times New Roman"/>
          <w:sz w:val="20"/>
          <w:u w:val="single"/>
        </w:rPr>
        <w:t>Article IX</w:t>
      </w:r>
      <w:r>
        <w:rPr>
          <w:rFonts w:ascii="Times New Roman" w:hAnsi="Times New Roman"/>
          <w:sz w:val="20"/>
        </w:rPr>
        <w:t xml:space="preserve">. Neither the alteration, amendment, addition to or repeal of this </w:t>
      </w:r>
      <w:r>
        <w:rPr>
          <w:rFonts w:ascii="Times New Roman" w:hAnsi="Times New Roman"/>
          <w:sz w:val="20"/>
          <w:u w:val="single"/>
        </w:rPr>
        <w:t>Article IX</w:t>
      </w:r>
      <w:r>
        <w:rPr>
          <w:rFonts w:ascii="Times New Roman" w:hAnsi="Times New Roman"/>
          <w:sz w:val="20"/>
        </w:rPr>
        <w:t xml:space="preserve">, nor the adoption of any provision of this Amended and Restated Certificate of Incorporation (including any certificate of designation relating to any series of Preferred Stock) inconsistent with this </w:t>
      </w:r>
      <w:r>
        <w:rPr>
          <w:rFonts w:ascii="Times New Roman" w:hAnsi="Times New Roman"/>
          <w:sz w:val="20"/>
          <w:u w:val="single"/>
        </w:rPr>
        <w:t>Article IX</w:t>
      </w:r>
      <w:r>
        <w:rPr>
          <w:rFonts w:ascii="Times New Roman" w:hAnsi="Times New Roman"/>
          <w:sz w:val="20"/>
        </w:rPr>
        <w:t xml:space="preserve">, shall eliminate or reduce the effect of this </w:t>
      </w:r>
      <w:r>
        <w:rPr>
          <w:rFonts w:ascii="Times New Roman" w:hAnsi="Times New Roman"/>
          <w:sz w:val="20"/>
          <w:u w:val="single"/>
        </w:rPr>
        <w:t>Article IX</w:t>
      </w:r>
      <w:r>
        <w:rPr>
          <w:rFonts w:ascii="Times New Roman" w:hAnsi="Times New Roman"/>
          <w:sz w:val="20"/>
        </w:rPr>
        <w:t xml:space="preserve"> in respect of any business opportunity first identified or any other matter occurring, or any cause of action, suit or claim that, but for this </w:t>
      </w:r>
      <w:r>
        <w:rPr>
          <w:rFonts w:ascii="Times New Roman" w:hAnsi="Times New Roman"/>
          <w:sz w:val="20"/>
          <w:u w:val="single"/>
        </w:rPr>
        <w:t>Article IX</w:t>
      </w:r>
      <w:r>
        <w:rPr>
          <w:rFonts w:ascii="Times New Roman" w:hAnsi="Times New Roman"/>
          <w:sz w:val="20"/>
        </w:rPr>
        <w:t xml:space="preserve">, would accrue or arise, prior to such alteration, amendment, addition, repeal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DGCL SECTION 203 AND BUSINESS COMBINATIONS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hereby expressly elects not to be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Company shall not engage in any business combination (as defined below), at any point in time at which the Company’s Common Stock is registered under Section 12(b) or 12(g) of the Exchange Act, with any interested stockholder (as defined below) for a period of three years following the time that such stockholder became an interested stockholder, unless: </w:t>
      </w:r>
    </w:p>
    <w:p>
      <w:pPr>
        <w:pStyle w:val="TextBody"/>
        <w:bidi w:val="0"/>
        <w:spacing w:before="120" w:after="0"/>
        <w:jc w:val="left"/>
        <w:rPr>
          <w:rFonts w:ascii="Times New Roman" w:hAnsi="Times New Roman"/>
          <w:sz w:val="20"/>
        </w:rPr>
      </w:pPr>
      <w:r>
        <w:rPr>
          <w:rFonts w:ascii="Times New Roman" w:hAnsi="Times New Roman"/>
          <w:sz w:val="20"/>
        </w:rPr>
        <w:t xml:space="preserve">(i) prior to such time, the Board approved either the business combination or the transaction which resulted in the stockholder becoming an interested stockholder, or </w:t>
      </w:r>
    </w:p>
    <w:p>
      <w:pPr>
        <w:pStyle w:val="TextBody"/>
        <w:bidi w:val="0"/>
        <w:spacing w:before="120" w:after="0"/>
        <w:jc w:val="left"/>
        <w:rPr>
          <w:rFonts w:ascii="Times New Roman" w:hAnsi="Times New Roman"/>
          <w:sz w:val="20"/>
        </w:rPr>
      </w:pPr>
      <w:r>
        <w:rPr>
          <w:rFonts w:ascii="Times New Roman" w:hAnsi="Times New Roman"/>
          <w:sz w:val="20"/>
        </w:rPr>
        <w:t xml:space="preserve">(ii) upon consummation of the transaction which resulted in the stockholder becoming an interested stockholder, the interested stockholder owned at least 85% of the voting stock (as defined below) of the Company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 </w:t>
      </w:r>
    </w:p>
    <w:p>
      <w:pPr>
        <w:pStyle w:val="TextBody"/>
        <w:bidi w:val="0"/>
        <w:spacing w:before="120" w:after="0"/>
        <w:jc w:val="left"/>
        <w:rPr>
          <w:rFonts w:ascii="Times New Roman" w:hAnsi="Times New Roman"/>
          <w:sz w:val="20"/>
        </w:rPr>
      </w:pPr>
      <w:r>
        <w:rPr>
          <w:rFonts w:ascii="Times New Roman" w:hAnsi="Times New Roman"/>
          <w:sz w:val="20"/>
        </w:rPr>
        <w:t xml:space="preserve">(iii) at or subsequent to such time, the business combination is approved by the Board and authorized at an annual or special meeting of stockholders, and not by written consent, by the affirmative vote of at least 66 2/3% of the outstanding voting stock of the Company entitled to vote thereon, with both Class A and Class B Common Stock holders voting together as a single class, which is not owned by the interested stockholder. </w:t>
      </w:r>
    </w:p>
    <w:p>
      <w:pPr>
        <w:pStyle w:val="TextBody"/>
        <w:bidi w:val="0"/>
        <w:spacing w:before="240" w:after="0"/>
        <w:jc w:val="left"/>
        <w:rPr>
          <w:rFonts w:ascii="Times New Roman" w:hAnsi="Times New Roman"/>
          <w:sz w:val="20"/>
        </w:rPr>
      </w:pPr>
      <w:r>
        <w:rPr>
          <w:rFonts w:ascii="Times New Roman" w:hAnsi="Times New Roman"/>
          <w:sz w:val="20"/>
        </w:rPr>
        <w:t xml:space="preserve">(c) The restrictions contained in the foregoing </w:t>
      </w:r>
      <w:r>
        <w:rPr>
          <w:rFonts w:ascii="Times New Roman" w:hAnsi="Times New Roman"/>
          <w:sz w:val="20"/>
          <w:u w:val="single"/>
        </w:rPr>
        <w:t>Section (b)</w:t>
      </w:r>
      <w:r>
        <w:rPr>
          <w:rFonts w:ascii="Times New Roman" w:hAnsi="Times New Roman"/>
          <w:sz w:val="20"/>
        </w:rPr>
        <w:t xml:space="preserve"> of this </w:t>
      </w:r>
      <w:r>
        <w:rPr>
          <w:rFonts w:ascii="Times New Roman" w:hAnsi="Times New Roman"/>
          <w:sz w:val="20"/>
          <w:u w:val="single"/>
        </w:rPr>
        <w:t>Article X</w:t>
      </w:r>
      <w:r>
        <w:rPr>
          <w:rFonts w:ascii="Times New Roman" w:hAnsi="Times New Roman"/>
          <w:sz w:val="20"/>
        </w:rPr>
        <w:t xml:space="preserve"> shall not apply if: </w:t>
      </w:r>
    </w:p>
    <w:p>
      <w:pPr>
        <w:pStyle w:val="TextBody"/>
        <w:bidi w:val="0"/>
        <w:spacing w:before="120" w:after="0"/>
        <w:jc w:val="left"/>
        <w:rPr>
          <w:rFonts w:ascii="Times New Roman" w:hAnsi="Times New Roman"/>
          <w:sz w:val="20"/>
        </w:rPr>
      </w:pPr>
      <w:r>
        <w:rPr>
          <w:rFonts w:ascii="Times New Roman" w:hAnsi="Times New Roman"/>
          <w:sz w:val="20"/>
        </w:rPr>
        <w:t xml:space="preserve">(i) a stockholder becomes an interested stockholder inadvertently and (x) as soon as practicable divests itself of ownership of sufficient shares so that the stockholder ceases to be an interested stockholder and (y) would not, at any time, within the three-year period immediately prior to the business combination between the Company and such stockholder, have been an interested stockholder but for the inadvertent acquisition of ownership; or </w:t>
      </w:r>
    </w:p>
    <w:p>
      <w:pPr>
        <w:pStyle w:val="TextBody"/>
        <w:bidi w:val="0"/>
        <w:spacing w:before="120" w:after="0"/>
        <w:jc w:val="left"/>
        <w:rPr>
          <w:rFonts w:ascii="Times New Roman" w:hAnsi="Times New Roman"/>
          <w:sz w:val="20"/>
        </w:rPr>
      </w:pPr>
      <w:r>
        <w:rPr>
          <w:rFonts w:ascii="Times New Roman" w:hAnsi="Times New Roman"/>
          <w:sz w:val="20"/>
        </w:rPr>
        <w:t xml:space="preserve">(ii) the business combination is proposed prior to the consummation or abandonment of and subsequent to the earlier of the public announcement or the notice required hereunder of a proposed transaction which (A) constitutes one of the transactions described in the second sentence of this </w:t>
      </w:r>
      <w:r>
        <w:rPr>
          <w:rFonts w:ascii="Times New Roman" w:hAnsi="Times New Roman"/>
          <w:sz w:val="20"/>
          <w:u w:val="single"/>
        </w:rPr>
        <w:t>Article X(c)(ii)</w:t>
      </w:r>
      <w:r>
        <w:rPr>
          <w:rFonts w:ascii="Times New Roman" w:hAnsi="Times New Roman"/>
          <w:sz w:val="20"/>
        </w:rPr>
        <w:t xml:space="preserve">, (B) is with or by a person who either was not an interested stockholder during the previous three years or who became an interested stockholder with the approval of the Board and (C)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direct or indirect wholly owned subsidiary or to the Company) having an aggregate market value equal to 50% or more of either the aggregate market value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assets of the Company determined on a consolidated basis or the aggregate market value of all the outstanding stock of the Company or (z) a proposed tender or exchange offer for 50% or more of the outstanding voting stock of the Company. The Company shall give not less than 20 days’ notice to all interested stockholders prior to the consummation of any of the transactions described in clause (x) or (y) of the second sentence of this </w:t>
      </w:r>
      <w:r>
        <w:rPr>
          <w:rFonts w:ascii="Times New Roman" w:hAnsi="Times New Roman"/>
          <w:sz w:val="20"/>
          <w:u w:val="single"/>
        </w:rPr>
        <w:t>Article X(c)(ii)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this </w:t>
      </w:r>
      <w:r>
        <w:rPr>
          <w:rFonts w:ascii="Times New Roman" w:hAnsi="Times New Roman"/>
          <w:sz w:val="20"/>
          <w:u w:val="single"/>
        </w:rPr>
        <w:t>Article X</w:t>
      </w:r>
      <w:r>
        <w:rPr>
          <w:rFonts w:ascii="Times New Roman" w:hAnsi="Times New Roman"/>
          <w:sz w:val="20"/>
        </w:rPr>
        <w:t xml:space="preserve">, references to: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Affiliate</w:t>
      </w:r>
      <w:r>
        <w:rPr>
          <w:rFonts w:ascii="Times New Roman" w:hAnsi="Times New Roman"/>
          <w:sz w:val="20"/>
        </w:rPr>
        <w:t xml:space="preserve">” means a person that directly, or indirectly through one or more intermediaries, controls, or is controlled by, or is under common control with, another person.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associate</w:t>
      </w:r>
      <w:r>
        <w:rPr>
          <w:rFonts w:ascii="Times New Roman" w:hAnsi="Times New Roman"/>
          <w:sz w:val="20"/>
        </w:rPr>
        <w:t xml:space="preserv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business combination</w:t>
      </w:r>
      <w:r>
        <w:rPr>
          <w:rFonts w:ascii="Times New Roman" w:hAnsi="Times New Roman"/>
          <w:sz w:val="20"/>
        </w:rPr>
        <w:t xml:space="preserve">,” when used in reference to the Company and any interested stockholder of the Company, means: </w:t>
      </w:r>
    </w:p>
    <w:p>
      <w:pPr>
        <w:pStyle w:val="TextBody"/>
        <w:bidi w:val="0"/>
        <w:spacing w:before="120" w:after="0"/>
        <w:jc w:val="left"/>
        <w:rPr>
          <w:rFonts w:ascii="Times New Roman" w:hAnsi="Times New Roman"/>
          <w:sz w:val="20"/>
        </w:rPr>
      </w:pPr>
      <w:r>
        <w:rPr>
          <w:rFonts w:ascii="Times New Roman" w:hAnsi="Times New Roman"/>
          <w:sz w:val="20"/>
        </w:rPr>
        <w:t xml:space="preserve">(A) any merger or consolidation of the Company (other than a merger effected pursuant to Sections 253 and 267 of the DGCL) or any direct or indirect majority-owned subsidiary of the Company (i) with the interested stockholder, or (ii) with any other corporation, partnership, unincorporated association or other entity if the merger or consolidation is caused by the interested stockholder and as a result of such merger or consolidation, </w:t>
      </w:r>
      <w:r>
        <w:rPr>
          <w:rFonts w:ascii="Times New Roman" w:hAnsi="Times New Roman"/>
          <w:sz w:val="20"/>
          <w:u w:val="single"/>
        </w:rPr>
        <w:t>Section (b)</w:t>
      </w:r>
      <w:r>
        <w:rPr>
          <w:rFonts w:ascii="Times New Roman" w:hAnsi="Times New Roman"/>
          <w:sz w:val="20"/>
        </w:rPr>
        <w:t xml:space="preserve"> of this </w:t>
      </w:r>
      <w:r>
        <w:rPr>
          <w:rFonts w:ascii="Times New Roman" w:hAnsi="Times New Roman"/>
          <w:sz w:val="20"/>
          <w:u w:val="single"/>
        </w:rPr>
        <w:t>Article X</w:t>
      </w:r>
      <w:r>
        <w:rPr>
          <w:rFonts w:ascii="Times New Roman" w:hAnsi="Times New Roman"/>
          <w:sz w:val="20"/>
        </w:rPr>
        <w:t xml:space="preserve"> is not applicable to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(B) any sale, lease, exchange, mortgage, pledge, transfer or other disposition (in one transaction or a series of transactions), except proportionately as a stockholder of the Company, to or with the interested stockholder, whether as part of a dissolution or otherwise, of assets of the Company or of any direct or indirect majority-owned subsidiary of the Company which assets have an aggregate market value equal to 10% or more of either the aggregate market value of all the assets of the Company determined on a consolidated basis or the aggregate market value of all the outstanding stock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any transaction which results in the issuance or transfer by the Company or by any direct or indirect majority-owned subsidiary of the Company of any stock of the Company or of such subsidiary to the interested stockholder, except: (i) pursuant to the exercise, exchange or conversion of securities exercisable for, exchangeable for or convertible into stock of the Company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Company or any such subsidiary which security is distributed, pro rata to all holders of a class or series of stock of the Company subsequent to the time the interested stockholder became such; (iv) pursuant to an exchange offer by the Company to purchase stock made on the same terms to all holders of said stock; or (v) any issuance or transfer of stock by the Company; provided, however, that in no case under items (iii) through (v) of this </w:t>
      </w:r>
      <w:r>
        <w:rPr>
          <w:rFonts w:ascii="Times New Roman" w:hAnsi="Times New Roman"/>
          <w:sz w:val="20"/>
          <w:u w:val="single"/>
        </w:rPr>
        <w:t>subsection (C)</w:t>
      </w:r>
      <w:r>
        <w:rPr>
          <w:rFonts w:ascii="Times New Roman" w:hAnsi="Times New Roman"/>
          <w:sz w:val="20"/>
        </w:rPr>
        <w:t xml:space="preserve"> shall there be an increase in the interested stockholder’s proportionate share of the stock of any class or series of the Company or of the voting stock of the Company (except as a result of immaterial changes due to fractional share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transaction involving the Company or any direct or indirect majority-owned subsidiary of the Company which has the effect, directly or indirectly, of increasing the proportionate share of the stock of any class or series, or securities convertible into the stock of any class or series, of the Company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w:t>
      </w:r>
    </w:p>
    <w:p>
      <w:pPr>
        <w:pStyle w:val="TextBody"/>
        <w:bidi w:val="0"/>
        <w:spacing w:before="120" w:after="0"/>
        <w:jc w:val="left"/>
        <w:rPr>
          <w:rFonts w:ascii="Times New Roman" w:hAnsi="Times New Roman"/>
          <w:sz w:val="20"/>
        </w:rPr>
      </w:pPr>
      <w:r>
        <w:rPr>
          <w:rFonts w:ascii="Times New Roman" w:hAnsi="Times New Roman"/>
          <w:sz w:val="20"/>
        </w:rPr>
        <w:t xml:space="preserve">(E) any receipt by the interested stockholder of the benefit, directly or indirectly (except proportionately as a stockholder of the Company), of any loans, advances, guarantees, pledges, or other financial benefits (other than those expressly permitted in </w:t>
      </w:r>
      <w:r>
        <w:rPr>
          <w:rFonts w:ascii="Times New Roman" w:hAnsi="Times New Roman"/>
          <w:sz w:val="20"/>
          <w:u w:val="single"/>
        </w:rPr>
        <w:t>subsections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provided by or through the Company or any direct or indirect majority-owned subsidiary.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controlling</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shall mean the possession, directly or indirectly, of the power to direct or cause the direction of the management and policies of a Person, whether through the ownership of voting securities,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Times New Roman" w:hAnsi="Times New Roman"/>
          <w:sz w:val="20"/>
          <w:u w:val="single"/>
        </w:rPr>
        <w:t>Article X</w:t>
      </w:r>
      <w:r>
        <w:rPr>
          <w:rFonts w:ascii="Times New Roman" w:hAnsi="Times New Roman"/>
          <w:sz w:val="20"/>
        </w:rPr>
        <w:t>, as an agent, bank, broker, nominee, custodian or trustee for 1 or more owners who do not individually or as a group (as such term is used in Rule 13d-5 under the Exchange Act (“</w:t>
      </w:r>
      <w:r>
        <w:rPr>
          <w:rFonts w:ascii="Times New Roman" w:hAnsi="Times New Roman"/>
          <w:b/>
          <w:sz w:val="20"/>
        </w:rPr>
        <w:t>Rule</w:t>
      </w:r>
      <w:r>
        <w:rPr>
          <w:rFonts w:ascii="Times New Roman" w:hAnsi="Times New Roman"/>
          <w:sz w:val="20"/>
        </w:rPr>
        <w:t> </w:t>
      </w:r>
      <w:r>
        <w:rPr>
          <w:rFonts w:ascii="Times New Roman" w:hAnsi="Times New Roman"/>
          <w:b/>
          <w:sz w:val="20"/>
        </w:rPr>
        <w:t>13d-5</w:t>
      </w:r>
      <w:r>
        <w:rPr>
          <w:rFonts w:ascii="Times New Roman" w:hAnsi="Times New Roman"/>
          <w:sz w:val="20"/>
        </w:rPr>
        <w:t xml:space="preserve">”), as such Rule 13d-5 is in effect as of the date of this Certificate) have control of such entity.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interested stockholder</w:t>
      </w:r>
      <w:r>
        <w:rPr>
          <w:rFonts w:ascii="Times New Roman" w:hAnsi="Times New Roman"/>
          <w:sz w:val="20"/>
        </w:rPr>
        <w:t xml:space="preserve">” means any person (other than the Company and any direct or indirect majority-owned subsidiary of the Company) that (A) is the owner of 15% or more of the outstanding voting stock of the Company, or (B) is an Affiliate or associate of the Company and was the owner of 15% or more of the outstanding voting stock of the Company at any time within the three year period immediately prior to the date on which it is sought to be determined whether such person is an interested stockholder; and the Affiliates and associates of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term “</w:t>
      </w:r>
      <w:r>
        <w:rPr>
          <w:rFonts w:ascii="Times New Roman" w:hAnsi="Times New Roman"/>
          <w:sz w:val="20"/>
          <w:u w:val="single"/>
        </w:rPr>
        <w:t>interested stockholder</w:t>
      </w:r>
      <w:r>
        <w:rPr>
          <w:rFonts w:ascii="Times New Roman" w:hAnsi="Times New Roman"/>
          <w:sz w:val="20"/>
        </w:rPr>
        <w:t>” shall not include (i) any Investor, any Investor Direct Transferee, any Investor Indirect Transferee or any of their respective Affiliates or successors or any “</w:t>
      </w:r>
      <w:r>
        <w:rPr>
          <w:rFonts w:ascii="Times New Roman" w:hAnsi="Times New Roman"/>
          <w:sz w:val="20"/>
          <w:u w:val="single"/>
        </w:rPr>
        <w:t>group</w:t>
      </w:r>
      <w:r>
        <w:rPr>
          <w:rFonts w:ascii="Times New Roman" w:hAnsi="Times New Roman"/>
          <w:sz w:val="20"/>
        </w:rPr>
        <w:t xml:space="preserve">,” or any member of any such group, to which such persons are a party under Rule 13d-5 of the Exchange Act, or (ii) any person whose ownership of shares in excess of the 15% limitation set forth herein is the result of any action taken solely by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in the case of clause (ii) such person shall be an interested stockholder if thereafter such person acquires additional shares of voting stock of the Company, except as a result of further corporate action not caused, directly or indirectly, by such person. For the purpose of determining whether a person is an interested stockholder, the voting stock of the Company deemed to be outstanding shall include stock deemed to be owned by the person through application of the definition of “</w:t>
      </w:r>
      <w:r>
        <w:rPr>
          <w:rFonts w:ascii="Times New Roman" w:hAnsi="Times New Roman"/>
          <w:sz w:val="20"/>
          <w:u w:val="single"/>
        </w:rPr>
        <w:t>owner</w:t>
      </w:r>
      <w:r>
        <w:rPr>
          <w:rFonts w:ascii="Times New Roman" w:hAnsi="Times New Roman"/>
          <w:sz w:val="20"/>
        </w:rPr>
        <w:t xml:space="preserve">” below but shall not include any other unissued stock of the Company which may be issuable pursuant to any agreement, arrangement or understanding, or upon exercise of conversion rights, warrants or options, or otherwise.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Investor</w:t>
      </w:r>
      <w:r>
        <w:rPr>
          <w:rFonts w:ascii="Times New Roman" w:hAnsi="Times New Roman"/>
          <w:sz w:val="20"/>
        </w:rPr>
        <w:t xml:space="preserve">” means Oaktree Capital Management L.P. and its Affiliates (including ITG Management Holdings, LLC).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Investor Direct Transferee</w:t>
      </w:r>
      <w:r>
        <w:rPr>
          <w:rFonts w:ascii="Times New Roman" w:hAnsi="Times New Roman"/>
          <w:sz w:val="20"/>
        </w:rPr>
        <w:t>” means any person that acquires (other than in a registered public offering) directly from any Investor or any of its successors or any “</w:t>
      </w:r>
      <w:r>
        <w:rPr>
          <w:rFonts w:ascii="Times New Roman" w:hAnsi="Times New Roman"/>
          <w:sz w:val="20"/>
          <w:u w:val="single"/>
        </w:rPr>
        <w:t>group</w:t>
      </w:r>
      <w:r>
        <w:rPr>
          <w:rFonts w:ascii="Times New Roman" w:hAnsi="Times New Roman"/>
          <w:sz w:val="20"/>
        </w:rPr>
        <w:t xml:space="preserve">,” or any member of any such group, of which such persons are a party under Rule 13d-5 of the Exchange Act beneficial ownership of 15% or more of the then outstanding voting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(viii) “</w:t>
      </w:r>
      <w:r>
        <w:rPr>
          <w:rFonts w:ascii="Times New Roman" w:hAnsi="Times New Roman"/>
          <w:sz w:val="20"/>
          <w:u w:val="single"/>
        </w:rPr>
        <w:t>Investor Indirect Transferee</w:t>
      </w:r>
      <w:r>
        <w:rPr>
          <w:rFonts w:ascii="Times New Roman" w:hAnsi="Times New Roman"/>
          <w:sz w:val="20"/>
        </w:rPr>
        <w:t xml:space="preserve">” means any person that acquires (other than in a registered public offering) directly from any Investor Direct Transferee or any other Investor Indirect Transferee beneficial ownership of 15% or more of the then outstanding voting stock of the Company.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sz w:val="20"/>
          <w:u w:val="single"/>
        </w:rPr>
        <w:t>owner</w:t>
      </w:r>
      <w:r>
        <w:rPr>
          <w:rFonts w:ascii="Times New Roman" w:hAnsi="Times New Roman"/>
          <w:sz w:val="20"/>
        </w:rPr>
        <w:t>,” including the terms “</w:t>
      </w:r>
      <w:r>
        <w:rPr>
          <w:rFonts w:ascii="Times New Roman" w:hAnsi="Times New Roman"/>
          <w:sz w:val="20"/>
          <w:u w:val="single"/>
        </w:rPr>
        <w:t>own</w:t>
      </w:r>
      <w:r>
        <w:rPr>
          <w:rFonts w:ascii="Times New Roman" w:hAnsi="Times New Roman"/>
          <w:sz w:val="20"/>
        </w:rPr>
        <w:t>” and “</w:t>
      </w:r>
      <w:r>
        <w:rPr>
          <w:rFonts w:ascii="Times New Roman" w:hAnsi="Times New Roman"/>
          <w:sz w:val="20"/>
          <w:u w:val="single"/>
        </w:rPr>
        <w:t>owned</w:t>
      </w:r>
      <w:r>
        <w:rPr>
          <w:rFonts w:ascii="Times New Roman" w:hAnsi="Times New Roman"/>
          <w:sz w:val="20"/>
        </w:rPr>
        <w:t xml:space="preserve">,” when used with respect to any stock, means a person that individually or with or through any of its Affiliates or associates: </w:t>
      </w:r>
    </w:p>
    <w:p>
      <w:pPr>
        <w:pStyle w:val="TextBody"/>
        <w:bidi w:val="0"/>
        <w:spacing w:before="120" w:after="0"/>
        <w:jc w:val="left"/>
        <w:rPr>
          <w:rFonts w:ascii="Times New Roman" w:hAnsi="Times New Roman"/>
          <w:sz w:val="20"/>
        </w:rPr>
      </w:pPr>
      <w:r>
        <w:rPr>
          <w:rFonts w:ascii="Times New Roman" w:hAnsi="Times New Roman"/>
          <w:sz w:val="20"/>
        </w:rPr>
        <w:t xml:space="preserve">(A) beneficially owns such stock, directly or indirectly; or </w:t>
      </w:r>
    </w:p>
    <w:p>
      <w:pPr>
        <w:pStyle w:val="TextBody"/>
        <w:bidi w:val="0"/>
        <w:spacing w:before="120" w:after="0"/>
        <w:jc w:val="left"/>
        <w:rPr>
          <w:rFonts w:ascii="Times New Roman" w:hAnsi="Times New Roman"/>
          <w:sz w:val="20"/>
        </w:rPr>
      </w:pPr>
      <w:r>
        <w:rPr>
          <w:rFonts w:ascii="Times New Roman" w:hAnsi="Times New Roman"/>
          <w:sz w:val="20"/>
        </w:rPr>
        <w:t xml:space="preserve">(B) 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 </w:t>
      </w:r>
    </w:p>
    <w:p>
      <w:pPr>
        <w:pStyle w:val="TextBody"/>
        <w:bidi w:val="0"/>
        <w:spacing w:before="120" w:after="0"/>
        <w:jc w:val="left"/>
        <w:rPr>
          <w:rFonts w:ascii="Times New Roman" w:hAnsi="Times New Roman"/>
          <w:sz w:val="20"/>
        </w:rPr>
      </w:pPr>
      <w:r>
        <w:rPr>
          <w:rFonts w:ascii="Times New Roman" w:hAnsi="Times New Roman"/>
          <w:sz w:val="20"/>
        </w:rPr>
        <w:t xml:space="preserve">(C) has any agreement, arrangement or understanding for the purpose of acquiring, holding, voting (except voting pursuant to a revocable proxy or consent as described in item (ii) of </w:t>
      </w:r>
      <w:r>
        <w:rPr>
          <w:rFonts w:ascii="Times New Roman" w:hAnsi="Times New Roman"/>
          <w:sz w:val="20"/>
          <w:u w:val="single"/>
        </w:rPr>
        <w:t>subsection (b)</w:t>
      </w:r>
      <w:r>
        <w:rPr>
          <w:rFonts w:ascii="Times New Roman" w:hAnsi="Times New Roman"/>
          <w:sz w:val="20"/>
        </w:rPr>
        <w:t xml:space="preserve"> above), or disposing of such stock with any other person that beneficially owns, or whose Affiliates or associates beneficially own, directly or indirectly, such stock.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person</w:t>
      </w:r>
      <w:r>
        <w:rPr>
          <w:rFonts w:ascii="Times New Roman" w:hAnsi="Times New Roman"/>
          <w:sz w:val="20"/>
        </w:rPr>
        <w:t xml:space="preserve">”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(xi) “</w:t>
      </w:r>
      <w:r>
        <w:rPr>
          <w:rFonts w:ascii="Times New Roman" w:hAnsi="Times New Roman"/>
          <w:sz w:val="20"/>
          <w:u w:val="single"/>
        </w:rPr>
        <w:t>stock</w:t>
      </w:r>
      <w:r>
        <w:rPr>
          <w:rFonts w:ascii="Times New Roman" w:hAnsi="Times New Roman"/>
          <w:sz w:val="20"/>
        </w:rPr>
        <w:t xml:space="preserve">” means, with respect to any corporation, capital stock and, with respect to any other entity, any equity interest. </w:t>
      </w:r>
    </w:p>
    <w:p>
      <w:pPr>
        <w:pStyle w:val="TextBody"/>
        <w:bidi w:val="0"/>
        <w:spacing w:before="120" w:after="0"/>
        <w:jc w:val="left"/>
        <w:rPr>
          <w:rFonts w:ascii="Times New Roman" w:hAnsi="Times New Roman"/>
          <w:sz w:val="20"/>
        </w:rPr>
      </w:pPr>
      <w:r>
        <w:rPr>
          <w:rFonts w:ascii="Times New Roman" w:hAnsi="Times New Roman"/>
          <w:sz w:val="20"/>
        </w:rPr>
        <w:t>(xii) “</w:t>
      </w:r>
      <w:r>
        <w:rPr>
          <w:rFonts w:ascii="Times New Roman" w:hAnsi="Times New Roman"/>
          <w:sz w:val="20"/>
          <w:u w:val="single"/>
        </w:rPr>
        <w:t>voting stock</w:t>
      </w:r>
      <w:r>
        <w:rPr>
          <w:rFonts w:ascii="Times New Roman" w:hAnsi="Times New Roman"/>
          <w:sz w:val="20"/>
        </w:rPr>
        <w:t xml:space="preserve">”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SEVERABILITY </w:t>
      </w:r>
    </w:p>
    <w:p>
      <w:pPr>
        <w:pStyle w:val="TextBody"/>
        <w:bidi w:val="0"/>
        <w:spacing w:before="240" w:after="0"/>
        <w:jc w:val="left"/>
        <w:rPr>
          <w:rFonts w:ascii="Times New Roman" w:hAnsi="Times New Roman"/>
          <w:sz w:val="20"/>
        </w:rPr>
      </w:pPr>
      <w:r>
        <w:rPr>
          <w:rFonts w:ascii="Times New Roman" w:hAnsi="Times New Roman"/>
          <w:sz w:val="20"/>
        </w:rPr>
        <w:t xml:space="preserve">(a)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to the fullest extent permitted by law, in any way be affected or impaired thereby and (ii)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the avoidance of doubt, for purposes of applying this Amended and Restated Certificate of Incorporation to any contract authorized by Section 122(18) of the DGCL, a restriction, prohibition, or covenant in any such contract that relates to any specified action shall not be deemed contrary to this Amended and Restated Certificate of Incorporation.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FORUM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Company consents in writing to the selection of an alternative forum, the Court of Chancery of the State of Delaware (or, if and only if the Court of Chancery does not have subject matter jurisdiction, another state court sitting in the State of Delaware or, if and only if neither the Court of Chancery nor any state court sitting in the State of Delaware has subject matter jurisdiction, then the federal district court for the District of Delaware) shall, to the fullest extent permitted by law, be the sole and exclusive forum for (1) any derivative action or proceeding brought on behalf of the Company, (2) any action asserting a claim of breach of a fiduciary duty owed by any current or former director, officer, stockholder or employee of the Company to the Company or the Company’s stockholders, creditors or other constituents, or a claim of aiding and abetting any such breach of fiduciary duty, (3) any action asserting a claim against the Company or any director or officer of the Company arising pursuant to any provision of the DGCL or this Amended and Restated Certificate of Incorporation or the Bylaws (as either may be amended and/or restated from time to time) or as to which the DGCL confers jurisdiction on the Court of Chancery of the State of Delaware, (4) any action to interpret, apply, enforce or determine the validity of this Amended and Restated Certificate of Incorporation or the Bylaws (as either may be amended and/or restated from time to time), (5) any action asserting a claim against the Company or any director or officer of the Company governed by the internal affairs doctrine of the law of the State of Delaware or (6) any action asserting an “internal corporate claim” as that term is defined in Section 115 of the DGCL. The choice of forum provision set forth in this </w:t>
      </w:r>
      <w:r>
        <w:rPr>
          <w:rFonts w:ascii="Times New Roman" w:hAnsi="Times New Roman"/>
          <w:sz w:val="20"/>
          <w:u w:val="single"/>
        </w:rPr>
        <w:t>subsection (a)</w:t>
      </w:r>
      <w:r>
        <w:rPr>
          <w:rFonts w:ascii="Times New Roman" w:hAnsi="Times New Roman"/>
          <w:sz w:val="20"/>
        </w:rPr>
        <w:t> of this</w:t>
      </w:r>
      <w:r>
        <w:rPr>
          <w:rFonts w:ascii="Times New Roman" w:hAnsi="Times New Roman"/>
          <w:sz w:val="20"/>
          <w:u w:val="single"/>
        </w:rPr>
        <w:t xml:space="preserve"> Article XII</w:t>
      </w:r>
      <w:r>
        <w:rPr>
          <w:rFonts w:ascii="Times New Roman" w:hAnsi="Times New Roman"/>
          <w:sz w:val="20"/>
        </w:rPr>
        <w:t xml:space="preserve"> shall not apply to any actions arising under the Securities Act of 1933, as amended (the “</w:t>
      </w:r>
      <w:r>
        <w:rPr>
          <w:rFonts w:ascii="Times New Roman" w:hAnsi="Times New Roman"/>
          <w:b/>
          <w:sz w:val="20"/>
        </w:rPr>
        <w:t>Securities Act</w:t>
      </w:r>
      <w:r>
        <w:rPr>
          <w:rFonts w:ascii="Times New Roman" w:hAnsi="Times New Roman"/>
          <w:sz w:val="20"/>
        </w:rPr>
        <w:t xml:space="preserve">”),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Unless the Company consents in writing to the selection of an alternative forum, the federal district court for the District of Delaware shall be the sole and exclusive forum for the resolution of any complaint asserting a cause of action arising under the Securities Act against the Company or any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fullest extent permitted by law, any person or entity purchasing or otherwise acquiring or holding any interest in shares of capital stock of the Company shall be deemed to have notice of and consented to the provisions of this </w:t>
      </w:r>
      <w:r>
        <w:rPr>
          <w:rFonts w:ascii="Times New Roman" w:hAnsi="Times New Roman"/>
          <w:sz w:val="20"/>
          <w:u w:val="single"/>
        </w:rPr>
        <w:t>Article XII</w:t>
      </w:r>
      <w:r>
        <w:rPr>
          <w:rFonts w:ascii="Times New Roman" w:hAnsi="Times New Roman"/>
          <w:sz w:val="20"/>
        </w:rPr>
        <w:t xml:space="preserve"> and personal jurisdiction and venue in any state or federal court located in the State of Delaware for any action or proceeding set forth in above clauses </w:t>
      </w:r>
      <w:r>
        <w:rPr>
          <w:rFonts w:ascii="Times New Roman" w:hAnsi="Times New Roman"/>
          <w:sz w:val="20"/>
          <w:u w:val="single"/>
        </w:rPr>
        <w:t>(1)</w:t>
      </w:r>
      <w:r>
        <w:rPr>
          <w:rFonts w:ascii="Times New Roman" w:hAnsi="Times New Roman"/>
          <w:sz w:val="20"/>
        </w:rPr>
        <w:t xml:space="preserve"> to </w:t>
      </w:r>
      <w:r>
        <w:rPr>
          <w:rFonts w:ascii="Times New Roman" w:hAnsi="Times New Roman"/>
          <w:sz w:val="20"/>
          <w:u w:val="single"/>
        </w:rPr>
        <w:t>(6)</w:t>
      </w:r>
      <w:r>
        <w:rPr>
          <w:rFonts w:ascii="Times New Roman" w:hAnsi="Times New Roman"/>
          <w:sz w:val="20"/>
        </w:rPr>
        <w:t xml:space="preserve"> of </w:t>
      </w:r>
      <w:r>
        <w:rPr>
          <w:rFonts w:ascii="Times New Roman" w:hAnsi="Times New Roman"/>
          <w:sz w:val="20"/>
          <w:u w:val="single"/>
        </w:rPr>
        <w:t>subsection (a)</w:t>
      </w:r>
      <w:r>
        <w:rPr>
          <w:rFonts w:ascii="Times New Roman" w:hAnsi="Times New Roman"/>
          <w:sz w:val="20"/>
        </w:rPr>
        <w:t xml:space="preserve"> of this </w:t>
      </w:r>
      <w:r>
        <w:rPr>
          <w:rFonts w:ascii="Times New Roman" w:hAnsi="Times New Roman"/>
          <w:sz w:val="20"/>
          <w:u w:val="single"/>
        </w:rPr>
        <w:t>Article XII</w:t>
      </w:r>
      <w:r>
        <w:rPr>
          <w:rFonts w:ascii="Times New Roman" w:hAnsi="Times New Roman"/>
          <w:sz w:val="20"/>
        </w:rPr>
        <w:t xml:space="preserve"> and any complaint set forth in </w:t>
      </w:r>
      <w:r>
        <w:rPr>
          <w:rFonts w:ascii="Times New Roman" w:hAnsi="Times New Roman"/>
          <w:sz w:val="20"/>
          <w:u w:val="single"/>
        </w:rPr>
        <w:t>subsection (b)</w:t>
      </w:r>
      <w:r>
        <w:rPr>
          <w:rFonts w:ascii="Times New Roman" w:hAnsi="Times New Roman"/>
          <w:sz w:val="20"/>
        </w:rPr>
        <w:t xml:space="preserve"> of this </w:t>
      </w:r>
      <w:r>
        <w:rPr>
          <w:rFonts w:ascii="Times New Roman" w:hAnsi="Times New Roman"/>
          <w:sz w:val="20"/>
          <w:u w:val="single"/>
        </w:rPr>
        <w:t>Article XII</w:t>
      </w:r>
      <w:r>
        <w:rPr>
          <w:rFonts w:ascii="Times New Roman" w:hAnsi="Times New Roman"/>
          <w:sz w:val="20"/>
        </w:rPr>
        <w:t xml:space="preserve">. This </w:t>
      </w:r>
      <w:r>
        <w:rPr>
          <w:rFonts w:ascii="Times New Roman" w:hAnsi="Times New Roman"/>
          <w:sz w:val="20"/>
          <w:u w:val="single"/>
        </w:rPr>
        <w:t>Article XII</w:t>
      </w:r>
      <w:r>
        <w:rPr>
          <w:rFonts w:ascii="Times New Roman" w:hAnsi="Times New Roman"/>
          <w:sz w:val="20"/>
        </w:rPr>
        <w:t xml:space="preserve"> is intended to benefit and may be enforced by the Company,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ITG, Inc. has caused this Amended and Restated Certificate of Incorporation to be executed by its duly authorized officer on this day of July 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ITG, Inc.</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0" w:type="dxa"/>
            <w:tcBorders>
              <w:bottom w:val="single" w:sz="2" w:space="0" w:color="000000"/>
            </w:tcBorders>
            <w:tcMar>
              <w:bottom w:w="28" w:type="dxa"/>
            </w:tcMar>
          </w:tcPr>
          <w:p>
            <w:pPr>
              <w:pStyle w:val="TableContents"/>
              <w:bidi w:val="0"/>
              <w:spacing w:before="0" w:after="283"/>
              <w:jc w:val="left"/>
              <w:rPr/>
            </w:pPr>
            <w:r>
              <w:rPr/>
              <w:t>/s/ Christopher Mecray</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Mecray</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Incorporation</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7" w:name="d88011dex32.htm"/>
      <w:bookmarkStart w:id="8" w:name="ksd88011dex32"/>
      <w:bookmarkEnd w:id="7"/>
      <w:bookmarkEnd w:id="8"/>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ITG, INC. </w:t>
      </w:r>
    </w:p>
    <w:p>
      <w:pPr>
        <w:pStyle w:val="TextBody"/>
        <w:bidi w:val="0"/>
        <w:spacing w:before="12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Registered Office</w:t>
      </w:r>
      <w:r>
        <w:rPr>
          <w:rFonts w:ascii="Times New Roman" w:hAnsi="Times New Roman"/>
          <w:sz w:val="20"/>
        </w:rPr>
        <w:t>. The address of the registered office of ITG, Inc. (the “</w:t>
      </w:r>
      <w:r>
        <w:rPr>
          <w:rFonts w:ascii="Times New Roman" w:hAnsi="Times New Roman"/>
          <w:b/>
          <w:sz w:val="20"/>
        </w:rPr>
        <w:t>Company</w:t>
      </w:r>
      <w:r>
        <w:rPr>
          <w:rFonts w:ascii="Times New Roman" w:hAnsi="Times New Roman"/>
          <w:sz w:val="20"/>
        </w:rPr>
        <w:t>”) in the State of Delaware is 251 Little Falls Drive, in the City of Wilmington, County of New Castle, Delaware 19808. The name of the Company’s registered agent at such address is Corporation Service Company. The Company may also have offices in such other places in the United States or elsewhere (and may change the Company’s registered agent) as the Board of Directors of the Company (the “</w:t>
      </w:r>
      <w:r>
        <w:rPr>
          <w:rFonts w:ascii="Times New Roman" w:hAnsi="Times New Roman"/>
          <w:b/>
          <w:sz w:val="20"/>
        </w:rPr>
        <w:t>Board</w:t>
      </w:r>
      <w:r>
        <w:rPr>
          <w:rFonts w:ascii="Times New Roman" w:hAnsi="Times New Roman"/>
          <w:sz w:val="20"/>
        </w:rPr>
        <w:t xml:space="preserve">”) may, from time to time, determine or as the business of the Company may require.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Annual Meetings</w:t>
      </w:r>
      <w:r>
        <w:rPr>
          <w:rFonts w:ascii="Times New Roman" w:hAnsi="Times New Roman"/>
          <w:sz w:val="20"/>
        </w:rPr>
        <w:t xml:space="preserve">. Annual meetings of stockholders of the Company may be held at such place, if any, either within or without the State of Delaware, and at such time and date as the Board shall determine and state in the notice of meeting. The Board may, in its sole discretion, determine that any meeting of stockholders of the Company shall not be held at any place, but may instead be held solely by means of remote communication as described in </w:t>
      </w:r>
      <w:r>
        <w:rPr>
          <w:rFonts w:ascii="Times New Roman" w:hAnsi="Times New Roman"/>
          <w:sz w:val="20"/>
          <w:u w:val="single"/>
        </w:rPr>
        <w:t>Section 2.11</w:t>
      </w:r>
      <w:r>
        <w:rPr>
          <w:rFonts w:ascii="Times New Roman" w:hAnsi="Times New Roman"/>
          <w:sz w:val="20"/>
        </w:rPr>
        <w:t xml:space="preserve"> hereof and in accordance with the General Corporation Law of the State of Delaware (the “</w:t>
      </w:r>
      <w:r>
        <w:rPr>
          <w:rFonts w:ascii="Times New Roman" w:hAnsi="Times New Roman"/>
          <w:b/>
          <w:sz w:val="20"/>
        </w:rPr>
        <w:t>DGCL</w:t>
      </w:r>
      <w:r>
        <w:rPr>
          <w:rFonts w:ascii="Times New Roman" w:hAnsi="Times New Roman"/>
          <w:sz w:val="20"/>
        </w:rPr>
        <w:t xml:space="preserve">”). At the annual meeting, the stockholders of the Company shall elect directors and transact such other business as may properly be brought before the annual meeting. The Board may postpone, reschedule or cancel any annual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Special Meetings</w:t>
      </w:r>
      <w:r>
        <w:rPr>
          <w:rFonts w:ascii="Times New Roman" w:hAnsi="Times New Roman"/>
          <w:sz w:val="20"/>
        </w:rPr>
        <w:t>. Prior to the Trigger Event (as defined in the Company’s Amended and Restated Certificate of Incorporation as then in effect (as the same may be amended and/or restated from time to time, the “</w:t>
      </w:r>
      <w:r>
        <w:rPr>
          <w:rFonts w:ascii="Times New Roman" w:hAnsi="Times New Roman"/>
          <w:b/>
          <w:sz w:val="20"/>
        </w:rPr>
        <w:t>Amended and Restated Certificate of Incorporation</w:t>
      </w:r>
      <w:r>
        <w:rPr>
          <w:rFonts w:ascii="Times New Roman" w:hAnsi="Times New Roman"/>
          <w:sz w:val="20"/>
        </w:rPr>
        <w:t>”)) and except as otherwise required by law and subject to the rights of the holders of any series of Preferred Stock (as defined in the Amended and Restated Certificate of Incorporation), and any rights granted pursuant to the Stockholders Agreement, dated on or about the date hereof, by and among the Company and certain stockholders of the Company from time to time party thereto (as the same may be amended, restated, supplemented and/or otherwise modified from time to time in accordance with its terms, the “</w:t>
      </w:r>
      <w:r>
        <w:rPr>
          <w:rFonts w:ascii="Times New Roman" w:hAnsi="Times New Roman"/>
          <w:b/>
          <w:sz w:val="20"/>
        </w:rPr>
        <w:t>Stockholders Agreement</w:t>
      </w:r>
      <w:r>
        <w:rPr>
          <w:rFonts w:ascii="Times New Roman" w:hAnsi="Times New Roman"/>
          <w:sz w:val="20"/>
        </w:rPr>
        <w:t>”), special meetings of the stockholders of the Company for any purpose or purposes may be called by or at the direction of the Board or the Chair of the Board, and at the request of the Investor (as defined in the Amended and Restated Certificate of Incorporation). From and after the Trigger Event, special meetings of the stockholders of the Company for any purpose or purposes may only be called by the Board or the Chair of the Board. Special meetings of the stockholders of the Company may be held at such place, if any, either within or without the State of Delaware, and at such time and date as determined by the Board, the Chair of the Board, the Chief Executive Officer of the Company (the “</w:t>
      </w:r>
      <w:r>
        <w:rPr>
          <w:rFonts w:ascii="Times New Roman" w:hAnsi="Times New Roman"/>
          <w:b/>
          <w:sz w:val="20"/>
        </w:rPr>
        <w:t>CEO</w:t>
      </w:r>
      <w:r>
        <w:rPr>
          <w:rFonts w:ascii="Times New Roman" w:hAnsi="Times New Roman"/>
          <w:sz w:val="20"/>
        </w:rPr>
        <w:t>”) and, prior to the Trigger Event, by or at the direction of the Board or the Chair of the Board at the request of the Investor. The Chair of the Board or the Board may postpone, reschedule or cancel any special meeting of stockholders previously called by any of them; </w:t>
      </w:r>
      <w:r>
        <w:rPr>
          <w:rFonts w:ascii="Times New Roman" w:hAnsi="Times New Roman"/>
          <w:i/>
          <w:sz w:val="20"/>
        </w:rPr>
        <w:t>provided, however</w:t>
      </w:r>
      <w:r>
        <w:rPr>
          <w:rFonts w:ascii="Times New Roman" w:hAnsi="Times New Roman"/>
          <w:sz w:val="20"/>
        </w:rPr>
        <w:t xml:space="preserve">, that with respect to any special meeting of stockholders of the Company previously scheduled at the request of the Investor, neither the Chair of the Board nor the Board shall postpone, reschedule or cancel such special meeting without the prior written consent of the Investor.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Notice of Stockholder Business and Nominations; Form and Requirements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Nominations of persons for election to the Board and the proposal of other business to be considered by the stockholders of the Company may be made at an annual meeting of the stockholders of the Company only (a) as provided in the Stockholders Agreement; (b) pursuant to the Company’s notice of meeting (or any supplement thereto) delivered pursuant to </w:t>
      </w:r>
      <w:r>
        <w:rPr>
          <w:rFonts w:ascii="Times New Roman" w:hAnsi="Times New Roman"/>
          <w:sz w:val="20"/>
          <w:u w:val="single"/>
        </w:rPr>
        <w:t>Section 2.04</w:t>
      </w:r>
      <w:r>
        <w:rPr>
          <w:rFonts w:ascii="Times New Roman" w:hAnsi="Times New Roman"/>
          <w:sz w:val="20"/>
        </w:rPr>
        <w:t xml:space="preserve"> hereof; (c) by or at the direction of the Board or any authorized committee thereof; or (d) by any stockholder of the Company who is entitled to vote at the meeting, who, subject to </w:t>
      </w:r>
      <w:r>
        <w:rPr>
          <w:rFonts w:ascii="Times New Roman" w:hAnsi="Times New Roman"/>
          <w:sz w:val="20"/>
          <w:u w:val="single"/>
        </w:rPr>
        <w:t>Section 2.03(C)(4)</w:t>
      </w:r>
      <w:r>
        <w:rPr>
          <w:rFonts w:ascii="Times New Roman" w:hAnsi="Times New Roman"/>
          <w:sz w:val="20"/>
        </w:rPr>
        <w:t xml:space="preserve"> hereof, complies with the notice procedures set forth in </w:t>
      </w:r>
      <w:r>
        <w:rPr>
          <w:rFonts w:ascii="Times New Roman" w:hAnsi="Times New Roman"/>
          <w:sz w:val="20"/>
          <w:u w:val="single"/>
        </w:rPr>
        <w:t>Sections 2.03(A)(2)</w:t>
      </w:r>
      <w:r>
        <w:rPr>
          <w:rFonts w:ascii="Times New Roman" w:hAnsi="Times New Roman"/>
          <w:sz w:val="20"/>
        </w:rPr>
        <w:t xml:space="preserve"> and </w:t>
      </w:r>
      <w:r>
        <w:rPr>
          <w:rFonts w:ascii="Times New Roman" w:hAnsi="Times New Roman"/>
          <w:sz w:val="20"/>
          <w:u w:val="single"/>
        </w:rPr>
        <w:t>(A)(3)</w:t>
      </w:r>
      <w:r>
        <w:rPr>
          <w:rFonts w:ascii="Times New Roman" w:hAnsi="Times New Roman"/>
          <w:sz w:val="20"/>
        </w:rPr>
        <w:t xml:space="preserve"> hereof and who is a stockholder of record at the time such notice is delivered to the Secretary of the Company (the “</w:t>
      </w:r>
      <w:r>
        <w:rPr>
          <w:rFonts w:ascii="Times New Roman" w:hAnsi="Times New Roman"/>
          <w:b/>
          <w:sz w:val="20"/>
        </w:rPr>
        <w:t>Secretary</w:t>
      </w:r>
      <w:r>
        <w:rPr>
          <w:rFonts w:ascii="Times New Roman" w:hAnsi="Times New Roman"/>
          <w:sz w:val="20"/>
        </w:rPr>
        <w:t xml:space="preserve">”), on the record date for the determination of stockholders of the Company entitled to vote at the annual meeting, and at the time of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(2) For nominations or other business to be properly brought before an annual meeting by a stockholder of the Company pursuant to </w:t>
      </w:r>
      <w:r>
        <w:rPr>
          <w:rFonts w:ascii="Times New Roman" w:hAnsi="Times New Roman"/>
          <w:sz w:val="20"/>
          <w:u w:val="single"/>
        </w:rPr>
        <w:t>Section 2.03(A)(1)(d)</w:t>
      </w:r>
      <w:r>
        <w:rPr>
          <w:rFonts w:ascii="Times New Roman" w:hAnsi="Times New Roman"/>
          <w:sz w:val="20"/>
        </w:rPr>
        <w:t xml:space="preserve"> hereof, the stockholder must have given timely notice thereof in writing to the Secretary, and, in the case of business other than nominations of persons for election to the Board, such other business must constitute a proper matter for stockholder action. To be timely, a stockholder’s notice shall be delivered to the Secretary at the principal executive offices of the Company in writing not later than the Close of Business (as defined below) on the 90th day nor earlier than the Close of Business on the 120th day prior to the first anniversary of the preceding year’s annual meeting (which anniversary date shall, for purposes of the Company’s first annual meeting of stockholders of the Company after the shares of its Class A Common Stock are first publicly traded (the “</w:t>
      </w:r>
      <w:r>
        <w:rPr>
          <w:rFonts w:ascii="Times New Roman" w:hAnsi="Times New Roman"/>
          <w:b/>
          <w:sz w:val="20"/>
        </w:rPr>
        <w:t>First Annual Meeting</w:t>
      </w:r>
      <w:r>
        <w:rPr>
          <w:rFonts w:ascii="Times New Roman" w:hAnsi="Times New Roman"/>
          <w:sz w:val="20"/>
        </w:rPr>
        <w:t xml:space="preserve">”), be deemed to have occurred on April 15, 2027);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date of the annual meeting is more than 30 days before or more than 70 days after the anniversary date of the previous year’s meeting, or if no annual meeting was held in the preceding year (other than in connection with the First Annual Meeting), notice by a stockholder of the Company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(as defined below) of the date of such meeting is first made. In no event shall the adjournment or postponement of an annual meeting (or the Public Announcement of the adjournment or postponement thereof) commence a new time period (or extend any time period) for the giving of a stockholder’s notice as described above. For the avoidance of doubt, a stockholder shall not be entitled to make additional or substitute nominations following expiration of the time periods set forth in these Bylaws. Notwithstanding anything in this </w:t>
      </w:r>
      <w:r>
        <w:rPr>
          <w:rFonts w:ascii="Times New Roman" w:hAnsi="Times New Roman"/>
          <w:sz w:val="20"/>
          <w:u w:val="single"/>
        </w:rPr>
        <w:t>Section 2.03(A)(2)</w:t>
      </w:r>
      <w:r>
        <w:rPr>
          <w:rFonts w:ascii="Times New Roman" w:hAnsi="Times New Roman"/>
          <w:sz w:val="20"/>
        </w:rPr>
        <w:t xml:space="preserve"> to the contrary, if the number of directors to be elected to the Board at an annual meeting is increased effective after the time period for which nominations would otherwise be due under this </w:t>
      </w:r>
      <w:r>
        <w:rPr>
          <w:rFonts w:ascii="Times New Roman" w:hAnsi="Times New Roman"/>
          <w:sz w:val="20"/>
          <w:u w:val="single"/>
        </w:rPr>
        <w:t>Section 2.03(A)(2)</w:t>
      </w:r>
      <w:r>
        <w:rPr>
          <w:rFonts w:ascii="Times New Roman" w:hAnsi="Times New Roman"/>
          <w:sz w:val="20"/>
        </w:rPr>
        <w:t xml:space="preserve"> and there is no Public Announcement naming all of the nominees for the additional directorships or specifying the size of the increased Board at least 100 days prior to the first anniversary of the prior year’s annual meeting of stockholders of the Company, then a stockholder’s notice required by this </w:t>
      </w:r>
      <w:r>
        <w:rPr>
          <w:rFonts w:ascii="Times New Roman" w:hAnsi="Times New Roman"/>
          <w:sz w:val="20"/>
          <w:u w:val="single"/>
        </w:rPr>
        <w:t>Section 2.03(A)(2)</w:t>
      </w:r>
      <w:r>
        <w:rPr>
          <w:rFonts w:ascii="Times New Roman" w:hAnsi="Times New Roman"/>
          <w:sz w:val="20"/>
        </w:rPr>
        <w:t xml:space="preserve"> shall also be considered timely, but only with respect to nominees for any new positions created by such increase, if it is received by the Secretary at the principal executive offices of the Company in writing not later than the Close of Business on the 10th day following the day on which such Public Announcement is first made. </w:t>
      </w:r>
    </w:p>
    <w:p>
      <w:pPr>
        <w:pStyle w:val="TextBody"/>
        <w:bidi w:val="0"/>
        <w:spacing w:before="240" w:after="0"/>
        <w:jc w:val="left"/>
        <w:rPr>
          <w:rFonts w:ascii="Times New Roman" w:hAnsi="Times New Roman"/>
          <w:sz w:val="20"/>
        </w:rPr>
      </w:pPr>
      <w:r>
        <w:rPr>
          <w:rFonts w:ascii="Times New Roman" w:hAnsi="Times New Roman"/>
          <w:sz w:val="20"/>
        </w:rPr>
        <w:t>(3) To be in proper form, a stockholder’s notice to the Secretary (the stockholder providing such notice, the “</w:t>
      </w:r>
      <w:r>
        <w:rPr>
          <w:rFonts w:ascii="Times New Roman" w:hAnsi="Times New Roman"/>
          <w:b/>
          <w:sz w:val="20"/>
        </w:rPr>
        <w:t>Noticing Stockholder</w:t>
      </w:r>
      <w:r>
        <w:rPr>
          <w:rFonts w:ascii="Times New Roman" w:hAnsi="Times New Roman"/>
          <w:sz w:val="20"/>
        </w:rPr>
        <w:t xml:space="preserve">”) under this </w:t>
      </w:r>
      <w:r>
        <w:rPr>
          <w:rFonts w:ascii="Times New Roman" w:hAnsi="Times New Roman"/>
          <w:sz w:val="20"/>
          <w:u w:val="single"/>
        </w:rPr>
        <w:t>Section 2.03(A)</w:t>
      </w:r>
      <w:r>
        <w:rPr>
          <w:rFonts w:ascii="Times New Roman" w:hAnsi="Times New Roman"/>
          <w:sz w:val="20"/>
        </w:rPr>
        <w:t xml:space="preserve"> must: </w:t>
      </w:r>
    </w:p>
    <w:p>
      <w:pPr>
        <w:pStyle w:val="TextBody"/>
        <w:bidi w:val="0"/>
        <w:spacing w:before="120" w:after="0"/>
        <w:jc w:val="left"/>
        <w:rPr>
          <w:rFonts w:ascii="Times New Roman" w:hAnsi="Times New Roman"/>
          <w:sz w:val="20"/>
        </w:rPr>
      </w:pPr>
      <w:r>
        <w:rPr>
          <w:rFonts w:ascii="Times New Roman" w:hAnsi="Times New Roman"/>
          <w:sz w:val="20"/>
        </w:rPr>
        <w:t>(a) as to each person whom the Noticing Stockholder proposes to nominate for election or re-election as a director, set forth or provide (i) the name, age, business address and residence address of such person, (ii) the principal occupation or employment of such person (present and for the past five years), (iii) the class or series and number of shares of the Company which are, directly or indirectly, owned beneficially and/or of record by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this </w:t>
      </w:r>
      <w:r>
        <w:rPr>
          <w:rFonts w:ascii="Times New Roman" w:hAnsi="Times New Roman"/>
          <w:sz w:val="20"/>
          <w:u w:val="single"/>
        </w:rPr>
        <w:t>Section 2.03(A)(3)(a</w:t>
      </w:r>
      <w:r>
        <w:rPr>
          <w:rFonts w:ascii="Times New Roman" w:hAnsi="Times New Roman"/>
          <w:sz w:val="20"/>
        </w:rPr>
        <w:t>), such person shall in all events be deemed to beneficially own any shares of the Company as to which such person has a right to acquire beneficial ownership of at any time in the future), (iv) all information relating to such person that is required to be disclosed in solicitations of proxies for election of directors in an election contest or that is otherwise required pursuant to and in accordance with Regulation 14A under the Securities Exchange Act of 1934, as amended (the “</w:t>
      </w:r>
      <w:r>
        <w:rPr>
          <w:rFonts w:ascii="Times New Roman" w:hAnsi="Times New Roman"/>
          <w:b/>
          <w:sz w:val="20"/>
        </w:rPr>
        <w:t>Exchange Act</w:t>
      </w:r>
      <w:r>
        <w:rPr>
          <w:rFonts w:ascii="Times New Roman" w:hAnsi="Times New Roman"/>
          <w:sz w:val="20"/>
        </w:rPr>
        <w:t>”) and the rules and regulations promulgated thereunder, (v) a complete and accurate description of any current or prior agreements, arrangements and understandings, and any other material relationships between or among the Noticing Stockholder, any beneficial owner on whose behalf the nomination or proposal is made (collectively with the Noticing Stockholder, the “</w:t>
      </w:r>
      <w:r>
        <w:rPr>
          <w:rFonts w:ascii="Times New Roman" w:hAnsi="Times New Roman"/>
          <w:b/>
          <w:sz w:val="20"/>
        </w:rPr>
        <w:t>Holders</w:t>
      </w:r>
      <w:r>
        <w:rPr>
          <w:rFonts w:ascii="Times New Roman" w:hAnsi="Times New Roman"/>
          <w:sz w:val="20"/>
        </w:rPr>
        <w:t xml:space="preserve">”), any of their respective affiliates and associates within the meaning of Rule 12b-2 under the Exchange Act, or others acting in concert therewith, on the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hand, and each proposed nominee, and his or her respective affiliates and associates, or others acting in concert therewith, on the other hand, including all information that would be required to be disclosed pursuant to Item 404 promulgated under Regulation S-K (or any successor provision) if any Holder, any affiliate or associate thereof or person acting in concert therewith, were the “registrant” for purposes of such rule and the nominee were a director or executive officer of such registrant, (vi) a complete and accurate description of all direct and indirect compensation and other material monetary agreements, arrangements and understandings (whether written or oral) during the past three years, between or among any Holder, any of its affiliates or associates, or others acting in concert therewith, on the one hand, and each nominee, and his or her respective affiliates and associates, or others acting in concert therewith, on the other hand, (vii) a notarized letter signed by such person stating his or her acceptance of the nomination by the Holder, stating his or her intention to serve as a director for a full term on the Board, if elected, and consenting to being named as a nominee for director in a proxy statement relating to such election, (viii) a completed and signed questionnaire and written representation and agreement, each as may be required by </w:t>
      </w:r>
      <w:r>
        <w:rPr>
          <w:rFonts w:ascii="Times New Roman" w:hAnsi="Times New Roman"/>
          <w:sz w:val="20"/>
          <w:u w:val="single"/>
        </w:rPr>
        <w:t>Section 2.03(A)(4)</w:t>
      </w:r>
      <w:r>
        <w:rPr>
          <w:rFonts w:ascii="Times New Roman" w:hAnsi="Times New Roman"/>
          <w:sz w:val="20"/>
        </w:rPr>
        <w:t xml:space="preserve"> hereof and (ix) all information relating to the nominee that would be required by this </w:t>
      </w:r>
      <w:r>
        <w:rPr>
          <w:rFonts w:ascii="Times New Roman" w:hAnsi="Times New Roman"/>
          <w:sz w:val="20"/>
          <w:u w:val="single"/>
        </w:rPr>
        <w:t>Section 2.03(A)</w:t>
      </w:r>
      <w:r>
        <w:rPr>
          <w:rFonts w:ascii="Times New Roman" w:hAnsi="Times New Roman"/>
          <w:sz w:val="20"/>
        </w:rPr>
        <w:t xml:space="preserve"> to be set forth in a stockholder’s notice with respect to a director nomination if such nominee were a stockholder providing notice of a director nomination to be made at the meeting; </w:t>
      </w:r>
    </w:p>
    <w:p>
      <w:pPr>
        <w:pStyle w:val="TextBody"/>
        <w:bidi w:val="0"/>
        <w:spacing w:before="120" w:after="0"/>
        <w:jc w:val="left"/>
        <w:rPr>
          <w:rFonts w:ascii="Times New Roman" w:hAnsi="Times New Roman"/>
          <w:sz w:val="20"/>
        </w:rPr>
      </w:pPr>
      <w:r>
        <w:rPr>
          <w:rFonts w:ascii="Times New Roman" w:hAnsi="Times New Roman"/>
          <w:sz w:val="20"/>
        </w:rPr>
        <w:t>(b) as to any business that the Noticing Stockholder proposes to bring before the meeting, set forth or provide (i) a brief description of the business desired to be brought before the meeting, (ii) the text, if any, of the proposal (including the text of any resolutions proposed for consideration and in the event that such business includes a proposal to amend the Amended and Restated Bylaws (“</w:t>
      </w:r>
      <w:r>
        <w:rPr>
          <w:rFonts w:ascii="Times New Roman" w:hAnsi="Times New Roman"/>
          <w:b/>
          <w:sz w:val="20"/>
        </w:rPr>
        <w:t>Bylaws</w:t>
      </w:r>
      <w:r>
        <w:rPr>
          <w:rFonts w:ascii="Times New Roman" w:hAnsi="Times New Roman"/>
          <w:sz w:val="20"/>
        </w:rPr>
        <w:t xml:space="preserve">”) of the Company, the language of the proposed amendment), (iii) the reasons for conducting such business at the meeting and any material interest in such business of any Holder and (iv) a complete and accurate description of any current or prior agreements, arrangements and understandings, and any other material relationships between or among the Holders, any of their respective affiliates and associates, or others acting in concert therewith, on the one hand, and each proposed nominee, and his or her respective affiliates and associates, or others acting in concert therewith, on the other hand, in connection with the proposal of such business by such Noticing Stockholder, including all information that would be required to be disclosed pursuant to Item 404 promulgated under Regulation S-K (or any successor provision) if any Holder, any affiliate or associate thereof or person acting in concert therewith, were the “registrant” for purposes of such rule and the nominee were a director or executive officer of such registrant; and </w:t>
      </w:r>
    </w:p>
    <w:p>
      <w:pPr>
        <w:pStyle w:val="TextBody"/>
        <w:bidi w:val="0"/>
        <w:spacing w:before="120" w:after="0"/>
        <w:jc w:val="left"/>
        <w:rPr>
          <w:rFonts w:ascii="Times New Roman" w:hAnsi="Times New Roman"/>
          <w:sz w:val="20"/>
        </w:rPr>
      </w:pPr>
      <w:r>
        <w:rPr>
          <w:rFonts w:ascii="Times New Roman" w:hAnsi="Times New Roman"/>
          <w:sz w:val="20"/>
        </w:rPr>
        <w:t>(c) as to the Holders, set forth (i) the name, age and address of the Noticing Stockholder as they appear on the Company’s books, (ii) the name and address of all other Holders, if any, and each Stockholder Associated Person (as defined below) of any Holder, (iii) the class or series and number of shares of the Company that are, directly or indirectly, owned beneficially and/or of record by each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this </w:t>
      </w:r>
      <w:r>
        <w:rPr>
          <w:rFonts w:ascii="Times New Roman" w:hAnsi="Times New Roman"/>
          <w:sz w:val="20"/>
          <w:u w:val="single"/>
        </w:rPr>
        <w:t>Section 2.03(A)(3)(c</w:t>
      </w:r>
      <w:r>
        <w:rPr>
          <w:rFonts w:ascii="Times New Roman" w:hAnsi="Times New Roman"/>
          <w:sz w:val="20"/>
        </w:rPr>
        <w:t xml:space="preserve">), any such person shall in all events be deemed to beneficially own any shares of the Company as to which such person has a right to acquire beneficial ownership of at any time in the future), any person controlling, directly or indirectly, or acting in concert with, any Holder and any person controlled by or under common control with any Holder, (iv) the Ownership Information (as defined below) for each Holder and Stockholder Associated Person, (v) whether and to the extent to which a Hedging Transaction (as defined below) has been entered into by or on behalf of any Holder or any Stockholder Associated Person, (vi) any material pending or threatened action, suit, or proceeding (whether civil, criminal, investigative, administrative, or otherwise) in which any Holder or any Stockholder Associated Person is, or is reasonably expected to be made, a party or material participant involving the Company or any of its officers, directors or employees, or any affiliate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any officer, director or employee of such affiliate, (vii) all information that would be required to be set forth in a Schedule 13D filed pursuant to Rule 13d-1(a) or an amendment pursuant to Rule 13d-2(a) if such a statement were required to be filed under the Exchange Act and the rules and regulations promulgated thereunder by each Holder and each Stockholder Associated Person, if any, of such Holder, (viii) a representation by the Noticing Stockholder that the Noticing Stockholder is a stockholder of record of the Company entitled to vote at the meeting, will continue to be a stockholder of record of the Company entitled to vote at such meeting through the date of such meeting and intends to appear in person or by proxy at the meeting to propose such business or nomination, (ix) a representation as to whether any Holder intends or is part of a group which intends to (A) deliver a proxy statement and/or form of proxy to holders of at least the percentage of the outstanding shares of the Company required to approve or adopt the proposal or elect the nominee and/or (B) otherwise solicit proxies from stockholders of the Company in support of such proposal or nomination, (x) in connection with a nomination for any persons for election as director, a representation by the Noticing Stockholder whether any Holder intends, or is part of a group which intends, to solicit proxies in support of any proposed nominee in accordance with Rule 14a-19 promulgated under the Exchange Act, (xi) a certification regarding whether each Holder has complied with all applicable federal, state and other legal requirements in connection with its acquisition of shares or other securities of the Company and such Holder’s acts or omissions as a stockholder of the Company, (xii) the names and addresses of other stockholders (including beneficial owners) known by any of the Holder or Stockholder Associated Person to support such proposal or nomination or nominations, and to the extent known the class and number of all shares of the Company’s capital stock owned beneficially or of record by such other stockholder(s) or other beneficial owner(s), and (xiii) the Noticing Stockholder’s representation as to the accuracy of the information set forth in the notice.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also, as a condition to any such nomination or business being deemed properly brought before an annual meeting, request any Holder or proposed nominee to deliver to the Secretary, within five Business Days of any such request, including such other information as may be reasonably requested by the Company, including, without limitation, such other information as may be reasonably required by the Board, in its sole discretion, to determine (i) the eligibility of a proposed nominee to serve as a director of the Company, (ii) whether such nominee qualifies as an “independent director” or “audit committee financial expert” under applicable law, securities exchange rule or regulation, or any publicly disclosed corporate governance guideline or committee charter of the Company and (iii) such other information that the Board determines, in its sole discretion, could be material to a reasonable stockholder’s understanding of the independence, or lack thereof, of such nominee. </w:t>
      </w:r>
    </w:p>
    <w:p>
      <w:pPr>
        <w:pStyle w:val="TextBody"/>
        <w:bidi w:val="0"/>
        <w:spacing w:before="120" w:after="0"/>
        <w:jc w:val="left"/>
        <w:rPr>
          <w:rFonts w:ascii="Times New Roman" w:hAnsi="Times New Roman"/>
          <w:sz w:val="20"/>
        </w:rPr>
      </w:pPr>
      <w:r>
        <w:rPr>
          <w:rFonts w:ascii="Times New Roman" w:hAnsi="Times New Roman"/>
          <w:sz w:val="20"/>
        </w:rPr>
        <w:t xml:space="preserve">A Noticing Stockholder shall further update and supplement its notice of any nomination or other business proposed to be brought before a meeting, if necessary, so that the information provided or required to be provided in such notice pursuant to this </w:t>
      </w:r>
      <w:r>
        <w:rPr>
          <w:rFonts w:ascii="Times New Roman" w:hAnsi="Times New Roman"/>
          <w:sz w:val="20"/>
          <w:u w:val="single"/>
        </w:rPr>
        <w:t>Section 2.03</w:t>
      </w:r>
      <w:r>
        <w:rPr>
          <w:rFonts w:ascii="Times New Roman" w:hAnsi="Times New Roman"/>
          <w:sz w:val="20"/>
        </w:rPr>
        <w:t xml:space="preserve"> shall be true and correct (i) as of the record date for the meeting and (ii) as of the date that is 10 Business Days prior to the meeting or any adjournment, recess, rescheduling or postponement thereof and such update and supplement shall be delivered to the Secretary at the principal executive offices of the Company not later than five Business Days after the record date for the meeting (in the case of the update and supplement required to be made as of the record date) and not later than eight Business Days prior to the date for the meeting, or any adjournment, recess, rescheduling or postponement thereof (in the case of the update and supplement required to be made as of 10 Business Days prior to the meeting or any adjournment, recess, rescheduling or postponement thereof). In addition, if the Noticing Stockholder has delivered to the Company a notice relating to the nomination of directors, the Noticing Stockholder shall deliver to the Company not later than eight Business Days prior to the date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adjournment, recess, rescheduling or postponement thereof (or, if not practicable, on the first practicable date prior to the date to which the meeting has been adjourned or postponed) reasonable evidence that it has complied with the requirements of Rule 14a-19 of the Exchange Act (or any successor provision). For the avoidance of doubt, the obligation to update and supplement set forth in this paragraph shall not limit the Company’s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provisions of this </w:t>
      </w:r>
      <w:r>
        <w:rPr>
          <w:rFonts w:ascii="Times New Roman" w:hAnsi="Times New Roman"/>
          <w:sz w:val="20"/>
          <w:u w:val="single"/>
        </w:rPr>
        <w:t>Section 2.03</w:t>
      </w:r>
      <w:r>
        <w:rPr>
          <w:rFonts w:ascii="Times New Roman" w:hAnsi="Times New Roman"/>
          <w:sz w:val="20"/>
        </w:rPr>
        <w:t xml:space="preserve">, unless otherwise required by law, if the Noticing Stockholder (or a qualified representative of the Noticing Stockholder) does not appear at the meeting of stockholders of the Company and present his or her proposed business or nomination(s), such proposed business will not be transacted and any such nomination will be disregarded, notwithstanding that proxies in respect of such vote may have been received by the Company. For purposes of this </w:t>
      </w:r>
      <w:r>
        <w:rPr>
          <w:rFonts w:ascii="Times New Roman" w:hAnsi="Times New Roman"/>
          <w:sz w:val="20"/>
          <w:u w:val="single"/>
        </w:rPr>
        <w:t>Section 2.03</w:t>
      </w:r>
      <w:r>
        <w:rPr>
          <w:rFonts w:ascii="Times New Roman" w:hAnsi="Times New Roman"/>
          <w:sz w:val="20"/>
        </w:rPr>
        <w:t xml:space="preserve">, to be considered a qualified representative of a stockholder of the Company, a person must be a duly authorized officer, manager or partner of such stockholder or must be authorized by a writing executed by such stockholder (or a reliable reproduction or electronic transmission of the writing) stating that such person is authorized to act for such stockholder as a proxy at the meeting of stockholders of the Company, and such person must produce proof that he or she is a duly authorized officer, manager or partner of such stockholder or such writing or electronic transmission, or a reliable reproduction of the writing or electronic transmission, as well as valid government-issued photo identification, at the meeting of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these Bylaws, if the person whom the Noticing Stockholder proposes to nominate for election or re-election as a director pursuant to the notice procedures set forth in Sections 2.03(A)(2) and (A)(3) hereof becomes ineligible or unwilling to serve on the Board, the Noticing Stockholder may not, at the annual meeting for which its notice for nomination has previously been given, propose to nominate any substitute, successor or replacement nominee for election or re-election as a director, unless it gives a new timely notice pursuant to </w:t>
      </w:r>
      <w:r>
        <w:rPr>
          <w:rFonts w:ascii="Times New Roman" w:hAnsi="Times New Roman"/>
          <w:sz w:val="20"/>
          <w:u w:val="single"/>
        </w:rPr>
        <w:t>Section 2.03(A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For purposes of this section, “</w:t>
      </w:r>
      <w:r>
        <w:rPr>
          <w:rFonts w:ascii="Times New Roman" w:hAnsi="Times New Roman"/>
          <w:b/>
          <w:sz w:val="20"/>
        </w:rPr>
        <w:t>Ownership Information</w:t>
      </w:r>
      <w:r>
        <w:rPr>
          <w:rFonts w:ascii="Times New Roman" w:hAnsi="Times New Roman"/>
          <w:sz w:val="20"/>
        </w:rPr>
        <w:t>” means: (i) any option, warrant, convertible security, stock appreciation right, or similar right with an exercise or conversion privilege or a settlement payment or mechanism at a price related to any class or series of shares of the Company or with a value derived in whole in or part from the value of any class or series of shares of the Company, whether or not the instrument or right is subject to settlement in the underlying class or series of shares of the Company or otherwise (a “</w:t>
      </w:r>
      <w:r>
        <w:rPr>
          <w:rFonts w:ascii="Times New Roman" w:hAnsi="Times New Roman"/>
          <w:b/>
          <w:sz w:val="20"/>
        </w:rPr>
        <w:t>Derivative Instrument</w:t>
      </w:r>
      <w:r>
        <w:rPr>
          <w:rFonts w:ascii="Times New Roman" w:hAnsi="Times New Roman"/>
          <w:sz w:val="20"/>
        </w:rPr>
        <w:t xml:space="preserve">”) that is directly or indirectly owned beneficially by any Holder, Stockholder Associated Person or proposed nominee and any other direct or indirect opportunity to profit or share in any profit derived from any increase or decrease in the value of any security of the Company; (ii) any agreement, arrangement or understanding (including any contract to purchase or sell, acquisition or grant of any option, right or warrant to purchase or sell, swap or other instrument) between any Holder, Stockholder Associated Person, proposed nominee and/or any others acting in concert with any of the foregoing the intent or effect of which may be to transfer to or from any such person, in whole or in part, any of the economic consequences of ownership of any security of the Company or to increase or decrease the voting power of any such person or any of such person’s affiliates or associates with respect to any security of the Company; (iii) any proxy, contract, arrangement, understanding or relationship pursuant to which any Holder, Stockholder Associated Person or proposed nominee has a right to vote or has granted a right to vote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(iv) any short interest held by any Holder, Stockholder Associated Person or proposed nominee presently or within the last 12 months in any shares of the Company (for purposes of this </w:t>
      </w:r>
      <w:r>
        <w:rPr>
          <w:rFonts w:ascii="Times New Roman" w:hAnsi="Times New Roman"/>
          <w:sz w:val="20"/>
          <w:u w:val="single"/>
        </w:rPr>
        <w:t>Section 2.03</w:t>
      </w:r>
      <w:r>
        <w:rPr>
          <w:rFonts w:ascii="Times New Roman" w:hAnsi="Times New Roman"/>
          <w:sz w:val="20"/>
        </w:rPr>
        <w:t>, a Holder, Stockholder Associated Person or proposed nominee is deemed to hold a short interest in a security if such Holder, Stockholder Associated Person or proposed nominee, directly or indirectly, through any contract, arrangement, understanding, relationship or otherwise, has the opportunity to profit or share in any profit derived from any decrease in the value of the subject security); (v) any right to dividends on shares of the Company owned beneficially by any Holder, Stockholder Associated Person or proposed nominee that is separated or separable from the underlying shares of the Company; (vi) any proportionate interest in shares of the Company; (vii) any Derivative Instrument held, directly or indirectly, by a general or limited partnership or limited liability company or similar entity in which any Holder, Stockholder Associated Person or proposed nominee is (a) a general partner or, directly or indirectly, beneficially owns any interest in a general partner, or (b) is the manager or managing member or, directly or indirectly, beneficially owns any interest in the manager or managing member of a limited liability company or similar entity; (viii) any performance-related fees (other than an asset-based fee) that any Holder, Stockholder Associated Person or proposed nominee is entitled to based on any increase or decrease in the value of shares of the Company or any Derivative Instrument; (ix) any direct or indirect legal, economic or financial interest (including short interest) of any Holder, Stockholder Associated Person or proposed nominee in the outcome of any vote to be taken at (A) any annual or special meeting of stockholders of the Company or (B) any meeting of stockholders of the Company or any other entity with respect to any matter that is substantially related, directly or indirectly, to any nomination or business proposed by any Holder under this Bylaw; and (x) any arrangement, right or other interest described in the preceding clauses of this paragraph held by any member of the immediate family of any Holder, Stockholder Associated Person or proposed nominee that shares the same household with such Holder or Stockholder Associated Person. “Hedging Transaction” means, with respect to any Holder or any Stockholder Associated Person, any hedging or other transaction (such as borrowed or loaned shares) or series of transactions, or any other agreement, arrangement, or understanding, the effect or intent of which is to increase or decrease the voting power or economic or pecuniary interest of such Holder or any Stockholder Associated Person with respect to the Company’s securities. “</w:t>
      </w:r>
      <w:r>
        <w:rPr>
          <w:rFonts w:ascii="Times New Roman" w:hAnsi="Times New Roman"/>
          <w:b/>
          <w:sz w:val="20"/>
        </w:rPr>
        <w:t>Stockholder Associated Person</w:t>
      </w:r>
      <w:r>
        <w:rPr>
          <w:rFonts w:ascii="Times New Roman" w:hAnsi="Times New Roman"/>
          <w:sz w:val="20"/>
        </w:rPr>
        <w:t xml:space="preserve">” means as to any Holder (x) any person acting in concert with such Holder, (y) any person controlling, controlled by or under common control with such Holder or any of their respective affiliates and associates, or person acting in concert therewith and (z) any member of the immediate family of such Holder or an affiliate or associate of such Holder. As used in these Bylaws, the terms “affiliate(s)” and “associate(s)” shall have the meanings attributed to such terms in Rule 12b-2 under the Exchange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(4) To be eligible to be a nominee for election or re-election as a director of the Company pursuant to this </w:t>
      </w:r>
      <w:r>
        <w:rPr>
          <w:rFonts w:ascii="Times New Roman" w:hAnsi="Times New Roman"/>
          <w:sz w:val="20"/>
          <w:u w:val="single"/>
        </w:rPr>
        <w:t>Section 2.03</w:t>
      </w:r>
      <w:r>
        <w:rPr>
          <w:rFonts w:ascii="Times New Roman" w:hAnsi="Times New Roman"/>
          <w:sz w:val="20"/>
        </w:rPr>
        <w:t xml:space="preserve">, a proposed nominee must deliver (in the case of a nominee nominated by a stockholder of the Company pursuant to this </w:t>
      </w:r>
      <w:r>
        <w:rPr>
          <w:rFonts w:ascii="Times New Roman" w:hAnsi="Times New Roman"/>
          <w:sz w:val="20"/>
          <w:u w:val="single"/>
        </w:rPr>
        <w:t>Section 2.03</w:t>
      </w:r>
      <w:r>
        <w:rPr>
          <w:rFonts w:ascii="Times New Roman" w:hAnsi="Times New Roman"/>
          <w:sz w:val="20"/>
        </w:rPr>
        <w:t>, in accordance with the time periods and other requirements prescribed for delivery of notice under these Bylaws and applicable law) to the Secretary at the principal executive offices of the Company (i) a written questionnaire with respect to the background and qualification of such person and the background of any other person or entity on whose behalf the nomination is being made (in the form to be provided by the Secretary upon written request of any stockholder of record identified by name within five Business Days of such written request) and (ii) an irrevocable, contingent resignation, in a form acceptable to the Board, (iii) a written representation and agreement (in the form to be provided by the Secretary upon written request of any stockholder of record identified by name within five Business Days of such written request) that such person (A) is not and will not become a party to (1) any agreement, arrangement or understanding (whether written or oral) with, and has not given any commitment or assurance to, any person or entity as to how such person, if elected as a director of the Company, will act or vote in such capacity on any issue or question (a “</w:t>
      </w:r>
      <w:r>
        <w:rPr>
          <w:rFonts w:ascii="Times New Roman" w:hAnsi="Times New Roman"/>
          <w:b/>
          <w:sz w:val="20"/>
        </w:rPr>
        <w:t>Voting Commitment</w:t>
      </w:r>
      <w:r>
        <w:rPr>
          <w:rFonts w:ascii="Times New Roman" w:hAnsi="Times New Roman"/>
          <w:sz w:val="20"/>
        </w:rPr>
        <w:t xml:space="preserve">”) that has not been disclosed to the Company or (2) any Voting Commitment that could limit or interfere with such person’s ability to comply, if elected as a director of the Company, with such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fiduciary duties under applicable law, (B) is not and will not become a party to any agreement, arrangement or understanding (whether written or oral) with any person or entity other than the Company with respect to any direct or indirect compensation, reimbursement or indemnification in connection with service or action as a director of the Company that has not been disclosed to the Company, (C) if elected as director of the Company, intends to serve for a full term on the Board and (D) in such person’s individual capacity and on behalf of any person or entity on whose behalf the nomination is being made, would be in compliance, if elected as a director of the Company, and will comply with all applicable laws and all applicable rules of the U.S. exchanges upon which the securities of the Company are listed and all applicable publicly disclosed corporate governance, conflict of interest, confidentiality and stock ownership and trading policies and other guidelines of the Company duly adopted by the Board, and (iv) the information and statement required by Rule 14a-19(b) of the Exchange Act (or any successor provision).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 of Stockholders of the Company</w:t>
      </w:r>
      <w:r>
        <w:rPr>
          <w:rFonts w:ascii="Times New Roman" w:hAnsi="Times New Roman"/>
          <w:sz w:val="20"/>
        </w:rPr>
        <w:t xml:space="preserve">. Only such business shall be conducted at a special meeting of stockholders of the Company as shall have been brought before the meeting pursuant to the Company’s notice of meeting. Nominations of persons for election to the Board may be made at a special meeting of stockholders of the Company at which directors are to be elected pursuant to the Company’s notice of meeting (1) as provided for in the Stockholders Agreement, (2) by or at the direction of the Board or any committee thereof or (3) provided that the Board (or the Investor pursuant to the Stockholders Agreement) has determined that directors shall be elected at such meeting, by any stockholder of the Company who is entitled to vote at the meeting on such matters, who (subject to </w:t>
      </w:r>
      <w:r>
        <w:rPr>
          <w:rFonts w:ascii="Times New Roman" w:hAnsi="Times New Roman"/>
          <w:sz w:val="20"/>
          <w:u w:val="single"/>
        </w:rPr>
        <w:t>Section 2.03(C)(4)</w:t>
      </w:r>
      <w:r>
        <w:rPr>
          <w:rFonts w:ascii="Times New Roman" w:hAnsi="Times New Roman"/>
          <w:sz w:val="20"/>
        </w:rPr>
        <w:t xml:space="preserve">) complies with the notice procedures set forth in this </w:t>
      </w:r>
      <w:r>
        <w:rPr>
          <w:rFonts w:ascii="Times New Roman" w:hAnsi="Times New Roman"/>
          <w:sz w:val="20"/>
          <w:u w:val="single"/>
        </w:rPr>
        <w:t>Section 2.03</w:t>
      </w:r>
      <w:r>
        <w:rPr>
          <w:rFonts w:ascii="Times New Roman" w:hAnsi="Times New Roman"/>
          <w:sz w:val="20"/>
        </w:rPr>
        <w:t xml:space="preserve"> and who is a stockholder of record at the time such notice is delivered to the Secretary at the principal executive offices of the Company, on the record date for the determination of stockholders of the Company entitled to vote at the special meeting and at the time of the special meeting. In the event that the Company calls a special meeting of stockholders of the Company for the purpose of electing one or more directors to the Board, any such stockholder entitled to vote in such election of directors may nominate a person or persons (as the case may be) for election to such position(s) as specified in the Company’s notice of meeting if the stockholder’s notice as required, if such stockholder’s notice for a special meeting were for an annual meeting, by </w:t>
      </w:r>
      <w:r>
        <w:rPr>
          <w:rFonts w:ascii="Times New Roman" w:hAnsi="Times New Roman"/>
          <w:sz w:val="20"/>
          <w:u w:val="single"/>
        </w:rPr>
        <w:t>Section 2.03(A)(2)</w:t>
      </w:r>
      <w:r>
        <w:rPr>
          <w:rFonts w:ascii="Times New Roman" w:hAnsi="Times New Roman"/>
          <w:sz w:val="20"/>
        </w:rPr>
        <w:t xml:space="preserve"> hereof shall be delivered to the Secretary at the principal executive offices of the Company not earlier than the Close of Business on the 120th day prior to such special meeting and not later than the Close of Business on the later of the 90th day prior to such special meeting or the 10th day following the day on which Public Announcement is first made of the date of such special meeting and of the nominees proposed by the Board to be elected at such meeting. In no event shall the adjournment or postponement of a special meeting (or the Public Announcement of the adjournment or postponement thereof) commence a new time period (or extend any time period) for the giving of a stockholder’s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General</w:t>
      </w:r>
      <w:r>
        <w:rPr>
          <w:rFonts w:ascii="Times New Roman" w:hAnsi="Times New Roman"/>
          <w:sz w:val="20"/>
        </w:rPr>
        <w:t xml:space="preserve">. (1) Except as provided in </w:t>
      </w:r>
      <w:r>
        <w:rPr>
          <w:rFonts w:ascii="Times New Roman" w:hAnsi="Times New Roman"/>
          <w:sz w:val="20"/>
          <w:u w:val="single"/>
        </w:rPr>
        <w:t>Section 2.03(C)(4)</w:t>
      </w:r>
      <w:r>
        <w:rPr>
          <w:rFonts w:ascii="Times New Roman" w:hAnsi="Times New Roman"/>
          <w:sz w:val="20"/>
        </w:rPr>
        <w:t xml:space="preserve"> hereof, only such persons who are nominated in accordance with the procedures set forth in this </w:t>
      </w:r>
      <w:r>
        <w:rPr>
          <w:rFonts w:ascii="Times New Roman" w:hAnsi="Times New Roman"/>
          <w:sz w:val="20"/>
          <w:u w:val="single"/>
        </w:rPr>
        <w:t>Section 2.03</w:t>
      </w:r>
      <w:r>
        <w:rPr>
          <w:rFonts w:ascii="Times New Roman" w:hAnsi="Times New Roman"/>
          <w:sz w:val="20"/>
        </w:rPr>
        <w:t xml:space="preserve"> shall be eligible to serve as a director and only such business shall be conducted at an annual or special meeting of stockholders of the Company as shall have been brought before the meeting in accordance with the procedures set forth in this </w:t>
      </w:r>
      <w:r>
        <w:rPr>
          <w:rFonts w:ascii="Times New Roman" w:hAnsi="Times New Roman"/>
          <w:sz w:val="20"/>
          <w:u w:val="single"/>
        </w:rPr>
        <w:t>Section 2.03</w:t>
      </w:r>
      <w:r>
        <w:rPr>
          <w:rFonts w:ascii="Times New Roman" w:hAnsi="Times New Roman"/>
          <w:sz w:val="20"/>
        </w:rPr>
        <w:t xml:space="preserve">. Except as otherwise provided by law, the Amended and Restated Certificate of Incorporation or these Bylaws, the chair of any meeting of stockholders of the Company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of the Company will vote at a meeting shall be announced at the meeting by the chair of the meeting. After the polls close, no ballots, proxies or votes or any revocations or changes thereto shall be accepted. The Board may adopt by resolution such rules, regulations and procedures for the conduct of the meeting of stockholders of the Company as it shall deem appropriate. Except to the extent inconsistent with such rules and regulations as adopted by the Board, the chair of the meeting shall have the right and authority to convene and (for any or no reason) to recess and/or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the Company entitled to vote at the meeting, their duly authorized and constituted proxies or such other persons as the chair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determine; (d) restrictions on entry to the meeting after the time fixed for the commencement thereof; (e) limitations on the time allotted to questions or comments by participants; and (f) restricting the use of cell phones, audio or video recording devices and similar devices at the meeting. Notwithstanding the foregoing provisions of this </w:t>
      </w:r>
      <w:r>
        <w:rPr>
          <w:rFonts w:ascii="Times New Roman" w:hAnsi="Times New Roman"/>
          <w:sz w:val="20"/>
          <w:u w:val="single"/>
        </w:rPr>
        <w:t>Section 2.03</w:t>
      </w:r>
      <w:r>
        <w:rPr>
          <w:rFonts w:ascii="Times New Roman" w:hAnsi="Times New Roman"/>
          <w:sz w:val="20"/>
        </w:rPr>
        <w:t xml:space="preserve">, unless otherwise required by law, if the Noticing Stockholder (or a qualified representative of the Noticing Stockholder) does not appear at the annual or special meeting of stockholders of the Company to present a nomination or business, such nomination shall be disregarded and such proposed business shall not be transacted, notwithstanding that proxies in respect of such vote may have been received by the Company. Unless and to the extent determined by the Board or the chair of the meeting, no meeting of stockholders of the Company shall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(2) Whenever used in these Bylaws, (a) “</w:t>
      </w:r>
      <w:r>
        <w:rPr>
          <w:rFonts w:ascii="Times New Roman" w:hAnsi="Times New Roman"/>
          <w:b/>
          <w:sz w:val="20"/>
        </w:rPr>
        <w:t>Public Announcement</w:t>
      </w:r>
      <w:r>
        <w:rPr>
          <w:rFonts w:ascii="Times New Roman" w:hAnsi="Times New Roman"/>
          <w:sz w:val="20"/>
        </w:rPr>
        <w:t>” shall mean disclosure (i) in a press release issued by the Company, provided such press release is issued by the Company following its customary procedures, that is reported by the Dow Jones News Service, Associated Press or comparable national news service, or is generally available on internet news sites or (ii) in a document publicly filed by the Company with the Securities and Exchange Commission pursuant to Section 13, 14 or 15(d) of the Exchange Act and the rules and regulations promulgated thereunder; (b) the “</w:t>
      </w:r>
      <w:r>
        <w:rPr>
          <w:rFonts w:ascii="Times New Roman" w:hAnsi="Times New Roman"/>
          <w:b/>
          <w:sz w:val="20"/>
        </w:rPr>
        <w:t>Close of Business</w:t>
      </w:r>
      <w:r>
        <w:rPr>
          <w:rFonts w:ascii="Times New Roman" w:hAnsi="Times New Roman"/>
          <w:sz w:val="20"/>
        </w:rPr>
        <w:t>” means 5:00 p.m. local time at the Company’s principal executive offices, and if an applicable deadline falls on the “Close of Business” on a day that is not a Business Day, then the applicable deadline shall be deemed to be the Close of Business on the immediately preceding Business Day; and (c) “</w:t>
      </w:r>
      <w:r>
        <w:rPr>
          <w:rFonts w:ascii="Times New Roman" w:hAnsi="Times New Roman"/>
          <w:b/>
          <w:sz w:val="20"/>
        </w:rPr>
        <w:t>Business Day</w:t>
      </w:r>
      <w:r>
        <w:rPr>
          <w:rFonts w:ascii="Times New Roman" w:hAnsi="Times New Roman"/>
          <w:sz w:val="20"/>
        </w:rPr>
        <w:t>” means each Monday, Tuesday, Wednesday, Thursday and Friday which is not a day on which banking institutions in New York City are authorized or obligated by law or executive order to close. Further, “</w:t>
      </w:r>
      <w:r>
        <w:rPr>
          <w:rFonts w:ascii="Times New Roman" w:hAnsi="Times New Roman"/>
          <w:b/>
          <w:sz w:val="20"/>
        </w:rPr>
        <w:t>delivery</w:t>
      </w:r>
      <w:r>
        <w:rPr>
          <w:rFonts w:ascii="Times New Roman" w:hAnsi="Times New Roman"/>
          <w:sz w:val="20"/>
        </w:rPr>
        <w:t xml:space="preserve">” of any notice or materials by a stockholder as required under this </w:t>
      </w:r>
      <w:r>
        <w:rPr>
          <w:rFonts w:ascii="Times New Roman" w:hAnsi="Times New Roman"/>
          <w:sz w:val="20"/>
          <w:u w:val="single"/>
        </w:rPr>
        <w:t>Section 2.03</w:t>
      </w:r>
      <w:r>
        <w:rPr>
          <w:rFonts w:ascii="Times New Roman" w:hAnsi="Times New Roman"/>
          <w:sz w:val="20"/>
        </w:rPr>
        <w:t xml:space="preserve"> shall be made by both (1) hand delivery, overnight courier service, or by certified or registered mail, return receipt required, in each case, to the Secretary at the principal executive offices of the Company, and (2) electronic mail to the Secretary at the principal executive offices of the Company or such other email address for the Secretary as may be specified in the Company’s proxy statement for the annual meeting of stockholders immediately preceding such delivery of notice or materials.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the foregoing provisions of this </w:t>
      </w:r>
      <w:r>
        <w:rPr>
          <w:rFonts w:ascii="Times New Roman" w:hAnsi="Times New Roman"/>
          <w:sz w:val="20"/>
          <w:u w:val="single"/>
        </w:rPr>
        <w:t>Section 2.03</w:t>
      </w:r>
      <w:r>
        <w:rPr>
          <w:rFonts w:ascii="Times New Roman" w:hAnsi="Times New Roman"/>
          <w:sz w:val="20"/>
        </w:rPr>
        <w:t xml:space="preserve">, the Noticing Stockholder shall also comply with all applicable requirements of the Exchange Act and the rules and regulations promulgated thereunder with respect to the matters set forth in this </w:t>
      </w:r>
      <w:r>
        <w:rPr>
          <w:rFonts w:ascii="Times New Roman" w:hAnsi="Times New Roman"/>
          <w:sz w:val="20"/>
          <w:u w:val="single"/>
        </w:rPr>
        <w:t>Section 2.03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Sections 2.03(A)(1)(d) and (B) hereof), and compliance with this </w:t>
      </w:r>
      <w:r>
        <w:rPr>
          <w:rFonts w:ascii="Times New Roman" w:hAnsi="Times New Roman"/>
          <w:sz w:val="20"/>
          <w:u w:val="single"/>
        </w:rPr>
        <w:t>Section 2.03</w:t>
      </w:r>
      <w:r>
        <w:rPr>
          <w:rFonts w:ascii="Times New Roman" w:hAnsi="Times New Roman"/>
          <w:sz w:val="20"/>
        </w:rPr>
        <w:t xml:space="preserve"> shall be the exclusive means for a stockholder of the Company to make nominations or submit other business at any meeting of stockholders of the Company (other than business properly brought under and in compliance with Rule 14a-8 of the Exchange Act (or any successor provision)). Nothing in these Bylaws shall be deemed to affect any rights of stockholders to request inclusion of proposals in the Company’s proxy statement pursuant to Rule 14a-8 under the Exchange Act or the rights of the holders of any class or series of stock having a preference over the common stock of the Company as to dividends or upon liquidation to elect directors under specified circumstances (including any certificate of designation relating to any series of Preferred Stock (as defined in the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(4) Notwithstanding anything to the contrary contained in this </w:t>
      </w:r>
      <w:r>
        <w:rPr>
          <w:rFonts w:ascii="Times New Roman" w:hAnsi="Times New Roman"/>
          <w:sz w:val="20"/>
          <w:u w:val="single"/>
        </w:rPr>
        <w:t>Section 2.03</w:t>
      </w:r>
      <w:r>
        <w:rPr>
          <w:rFonts w:ascii="Times New Roman" w:hAnsi="Times New Roman"/>
          <w:sz w:val="20"/>
        </w:rPr>
        <w:t xml:space="preserve">, prior to the Trigger Event, holders of shares of Class B Common Stock shall not be subject to the notice procedures set forth in </w:t>
      </w:r>
      <w:r>
        <w:rPr>
          <w:rFonts w:ascii="Times New Roman" w:hAnsi="Times New Roman"/>
          <w:sz w:val="20"/>
          <w:u w:val="single"/>
        </w:rPr>
        <w:t>Sections 2.03(A)(2)</w:t>
      </w:r>
      <w:r>
        <w:rPr>
          <w:rFonts w:ascii="Times New Roman" w:hAnsi="Times New Roman"/>
          <w:sz w:val="20"/>
        </w:rPr>
        <w:t xml:space="preserve">, </w:t>
      </w:r>
      <w:r>
        <w:rPr>
          <w:rFonts w:ascii="Times New Roman" w:hAnsi="Times New Roman"/>
          <w:sz w:val="20"/>
          <w:u w:val="single"/>
        </w:rPr>
        <w:t>(A)(3)</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hereof with respect to any annual or special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Notice of Meetings</w:t>
      </w:r>
      <w:r>
        <w:rPr>
          <w:rFonts w:ascii="Times New Roman" w:hAnsi="Times New Roman"/>
          <w:sz w:val="20"/>
        </w:rPr>
        <w:t xml:space="preserve">. Whenever stockholders of the Company are required or permitted to take any action at a meeting, a timely notice in writing or by electronic transmission, in the manner provided in Section 232 of the DGCL, of the meeting, which shall state the place, if any, date and time of the meeting, the means of remote communication, if any, by which stockholders of the Company and proxyholders may be deemed to be present in person and vote at such meeting, the record date for determining the stockholders of the Company entitled to vote at the meeting, if such date is different from the record date for determining stockholders of the Company entitled to notice of the meeting, and, in the case of a special meeting, the purposes for which the meeting is called, shall be mailed to or transmitted electronically by the Secretary to each stockholder of record entitled to vote thereat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the record date for determining the stockholders of the Company entitled to notice of the meeting. Unless otherwise provided by law, the Amended and Restated Certificate of Incorporation or these Bylaws, the notice of any meeting shall be given not less than 10 nor more than 60 days before the date of the meeting to each stockholder of the Company entitled to vote at such meeting as of the record date for determining the stockholders of the Company entitled to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Quorum</w:t>
      </w:r>
      <w:r>
        <w:rPr>
          <w:rFonts w:ascii="Times New Roman" w:hAnsi="Times New Roman"/>
          <w:sz w:val="20"/>
        </w:rPr>
        <w:t xml:space="preserve">. Unless otherwise required by law, the Amended and Restated Certificate of Incorporation or the rules of any stock exchange upon which the Company’s securities are listed, the holders of record of a majority of the voting power of the issued and outstanding shares of the Company entitled to vote thereat, present in person or represented by proxy, shall constitute a quorum for the transaction of business at all meetings of stockholders of the Company.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at any meeting, it shall not be broken by the subsequent withdrawal of any stockholder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Voting</w:t>
      </w:r>
      <w:r>
        <w:rPr>
          <w:rFonts w:ascii="Times New Roman" w:hAnsi="Times New Roman"/>
          <w:sz w:val="20"/>
        </w:rPr>
        <w:t xml:space="preserve">. Except as otherwise provided by or pursuant to the provisions of the Amended and Restated Certificate of Incorporation, each stockholder entitled to vote at any meeting of stockholders of the Company shall be entitled to one vote for each share of Class A Common Stock and Class B Common Stock held by such stockholder that has voting power upon the matter in question. Each stockholder entitled to vote at a meeting of stockholders of the Company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of the Company may revoke any proxy that is not irrevocable by attending the meeting and voting in person or by delivering to the Secretary a written revocation of the proxy or a new proxy bearing a later date. Any stockholder directly or indirectly soliciting proxies from other stockholders may use any proxy card color other than white, which shall be reserved for exclusive use of the Board. Unless required by the Amended and Restated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the Company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Company, of any regulation applicable to the Company or its securities, of the Amended and Restated Certificate of Incorporation or of these Bylaws, a different vote is required, in which case such express provision shall govern and control the decision of such question. Notwithstanding anything to the contrary in these Bylaws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Chair of Meetings</w:t>
      </w:r>
      <w:r>
        <w:rPr>
          <w:rFonts w:ascii="Times New Roman" w:hAnsi="Times New Roman"/>
          <w:sz w:val="20"/>
        </w:rPr>
        <w:t xml:space="preserve">. The Chair of the Board, if one is elected, or, in his or her absence or disability, the CEO, or in the absence of the Chair of the Board and the CEO, a person designated by the majority of the directors shall be the Chair of the meeting and, as such, shall preside at all meetings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Secretary of Meetings</w:t>
      </w:r>
      <w:r>
        <w:rPr>
          <w:rFonts w:ascii="Times New Roman" w:hAnsi="Times New Roman"/>
          <w:sz w:val="20"/>
        </w:rPr>
        <w:t xml:space="preserve">. The Secretary shall act as secretary at all meetings of the stockholders of the Company. In the absence or disability of the Secretary, the Chair of the meeting shall appoint a person to act as secretary at such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Consent of Stockholders in Lieu of Meeting</w:t>
      </w:r>
      <w:r>
        <w:rPr>
          <w:rFonts w:ascii="Times New Roman" w:hAnsi="Times New Roman"/>
          <w:sz w:val="20"/>
        </w:rPr>
        <w:t xml:space="preserve">. Any action required or permitted to be taken at any meeting of stockholders of the Company may be taken without a meeting, without prior notice and without a vote only in the manner provided in </w:t>
      </w:r>
      <w:r>
        <w:rPr>
          <w:rFonts w:ascii="Times New Roman" w:hAnsi="Times New Roman"/>
          <w:sz w:val="20"/>
          <w:u w:val="single"/>
        </w:rPr>
        <w:t>Article VIII</w:t>
      </w:r>
      <w:r>
        <w:rPr>
          <w:rFonts w:ascii="Times New Roman" w:hAnsi="Times New Roman"/>
          <w:sz w:val="20"/>
        </w:rPr>
        <w:t xml:space="preserve"> of the Amended and Restated Certificate of Incorporation and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Adjournment</w:t>
      </w:r>
      <w:r>
        <w:rPr>
          <w:rFonts w:ascii="Times New Roman" w:hAnsi="Times New Roman"/>
          <w:sz w:val="20"/>
        </w:rPr>
        <w:t xml:space="preserve">. The Chair of any meeting of stockholders of the Company shall have the power to adjourn the meeting from time to time, whether or not a quorum is present. At any meeting of stockholders of the Company, if less than a quorum be present, the Chair of the meeting or stockholders of the Company holding a majority in voting power of the shares of stock of the Company, present in person or by proxy and entitled to vote thereat,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30 days, a notice of the adjourned meeting shall be given to each stockholder of record entitled to vote at the meeting. If after the adjournment a new record date for determination of stockholders of the Company entitled to vote is fixed for the adjourned meeting, the Board shall fix as the record date for determining stockholders of the Company entitled to notice of such adjourned meeting the same or an earlier date as that fixed for determination of stockholders of the Company entitled to vote at the adjourned meeting, and shall give notice of the adjourned meeting to each stockholder of record entitled to vote at such adjourned meeting as of the record date so fixed for notice of such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Remote Communication</w:t>
      </w:r>
      <w:r>
        <w:rPr>
          <w:rFonts w:ascii="Times New Roman" w:hAnsi="Times New Roman"/>
          <w:sz w:val="20"/>
        </w:rPr>
        <w:t xml:space="preserve">. If authorized by the Board in its sole discretion, and subject to such rules, regulations and procedures as the Board may adopt, stockholders of the Company and proxyholders not physically present at a meeting of stockholders of the Company may, by means of remote communication: </w:t>
      </w:r>
    </w:p>
    <w:p>
      <w:pPr>
        <w:pStyle w:val="TextBody"/>
        <w:bidi w:val="0"/>
        <w:spacing w:before="120" w:after="0"/>
        <w:jc w:val="left"/>
        <w:rPr>
          <w:rFonts w:ascii="Times New Roman" w:hAnsi="Times New Roman"/>
          <w:sz w:val="20"/>
        </w:rPr>
      </w:pPr>
      <w:r>
        <w:rPr>
          <w:rFonts w:ascii="Times New Roman" w:hAnsi="Times New Roman"/>
          <w:sz w:val="20"/>
        </w:rPr>
        <w:t xml:space="preserve">(A) participate in a meeting of stockholders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(B) be deemed present in person and vote at a meeting of stockholders of the Company whether such meeting is to be held at a designated place or solely by means of remote communication;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implement reasonable measures to verify that each person deemed present and permitted to vote at the meeting by means of remote communication is a stockholder of the Company or proxyholder; </w:t>
      </w:r>
    </w:p>
    <w:p>
      <w:pPr>
        <w:pStyle w:val="TextBody"/>
        <w:bidi w:val="0"/>
        <w:spacing w:before="240" w:after="0"/>
        <w:jc w:val="left"/>
        <w:rPr>
          <w:rFonts w:ascii="Times New Roman" w:hAnsi="Times New Roman"/>
          <w:sz w:val="20"/>
        </w:rPr>
      </w:pPr>
      <w:r>
        <w:rPr>
          <w:rFonts w:ascii="Times New Roman" w:hAnsi="Times New Roman"/>
          <w:sz w:val="20"/>
        </w:rPr>
        <w:t xml:space="preserve">(2) the Company shall implement reasonable measures to provide such stockholders of the Company and proxyholders a reasonable opportunity to participate in the meeting and to vote on matters submitted to the stockholders of the Company, including an opportunity to read or hear the proceedings of the meeting substantially concurrently with such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(3) if any stockholder of the Company or proxyholder votes or takes other action at the meeting by means of remote communication, a record of such vote or other action shall be maintained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Inspectors of Election</w:t>
      </w:r>
      <w:r>
        <w:rPr>
          <w:rFonts w:ascii="Times New Roman" w:hAnsi="Times New Roman"/>
          <w:sz w:val="20"/>
        </w:rPr>
        <w:t xml:space="preserve">. The Company may, and shall if required by law, in advance of any meeting of stockholders of the Company, appoint one or more inspectors of election, who may be employees of the Company, to act at the meeting or any adjournment thereof and to make a written report thereof. The Company may designate one or more persons as alternate inspectors to replace any inspector who fails to act. In the event that no inspector so appointed or designated is able to act at a meeting of stockholders of the Company, the Chair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the Company outstanding and the voting power of each such share, (b) determine the shares of the Company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the Company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Company, the inspectors may consider such information as is permitted by applicable law. No person who is a candidate for an office at an election may serve as an inspector at such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Powers</w:t>
      </w:r>
      <w:r>
        <w:rPr>
          <w:rFonts w:ascii="Times New Roman" w:hAnsi="Times New Roman"/>
          <w:sz w:val="20"/>
        </w:rPr>
        <w:t xml:space="preserve">. Except as otherwise provided in the Amended and Restated Certificate of Incorporation, the DGCL or the Stockholders Agreement, the business and affairs of the Company shall be managed by or under the direction of the Board. The Board may exercise all such authority and powers of the Company and do all such lawful acts and things as are not, by the DGCL or the Amended and Restated Certificate of Incorporation, directed or required to be exercised or done by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Number and Term; Chair</w:t>
      </w:r>
      <w:r>
        <w:rPr>
          <w:rFonts w:ascii="Times New Roman" w:hAnsi="Times New Roman"/>
          <w:sz w:val="20"/>
        </w:rPr>
        <w:t xml:space="preserve">. Subject to the Amended and Restated Certificate of Incorporation, the number of directors shall be fixed exclusively by resolution of the Board. The term of each director elected to the Board shall be as set forth in the Amended and Restated Certificate of Incorporation. Directors need not be stockholders of the Company. The Board shall elect a Chair of the Board, who shall have the powers and perform such duties as provided in these Bylaws and as the Board may from time to time prescribe. The Chair of the Board shall preside at all meetings of the Board at which he or she is present. If the Chair of the Board is not present at a meeting of the Board, the CEO (if the CEO is a director and is not also the Chair of the Board) shall preside at such meeting, and, if the CEO is not present at such meeting or is not a director, a majority of the directors present at such meeting shall elect one of their members to preside.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Resignations</w:t>
      </w:r>
      <w:r>
        <w:rPr>
          <w:rFonts w:ascii="Times New Roman" w:hAnsi="Times New Roman"/>
          <w:sz w:val="20"/>
        </w:rPr>
        <w:t xml:space="preserve">. Any director may resign at any time upon notice given in writing or by electronic transmission to the Board, the Chair of the Board, the CEO or the Secretary. The resignation shall take effect at the time specified therein, and if no time is specified, at the time of its receipt. The acceptance of a resignation shall not be necessary to make it effective unless otherwise expressly provided in the resignation.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Removal</w:t>
      </w:r>
      <w:r>
        <w:rPr>
          <w:rFonts w:ascii="Times New Roman" w:hAnsi="Times New Roman"/>
          <w:sz w:val="20"/>
        </w:rPr>
        <w:t xml:space="preserve">. Subject to the rights of the holders of any series of Preferred Stock (as defined in the Amended and Restated Certificate of Incorporation) and any rights granted pursuant to the Stockholders Agreement, any director or the entire Board may be removed from office at any time, but only in the manner provided in </w:t>
      </w:r>
      <w:r>
        <w:rPr>
          <w:rFonts w:ascii="Times New Roman" w:hAnsi="Times New Roman"/>
          <w:sz w:val="20"/>
          <w:u w:val="single"/>
        </w:rPr>
        <w:t>Article VI(c)</w:t>
      </w:r>
      <w:r>
        <w:rPr>
          <w:rFonts w:ascii="Times New Roman" w:hAnsi="Times New Roman"/>
          <w:sz w:val="20"/>
        </w:rPr>
        <w:t xml:space="preserve"> of the Amended and Restated Certificate of Incorporation and applicable law. Any vacancy on the Board created by the removal of a director and not filled in connection with such removal shall be filled in accordance with </w:t>
      </w:r>
      <w:r>
        <w:rPr>
          <w:rFonts w:ascii="Times New Roman" w:hAnsi="Times New Roman"/>
          <w:sz w:val="20"/>
          <w:u w:val="single"/>
        </w:rPr>
        <w:t>Section 3.05</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Vacancies and Newly-Created Directorships</w:t>
      </w:r>
      <w:r>
        <w:rPr>
          <w:rFonts w:ascii="Times New Roman" w:hAnsi="Times New Roman"/>
          <w:sz w:val="20"/>
        </w:rPr>
        <w:t xml:space="preserve">. Except as otherwise provided by applicable law and subject to the rights of the holders of any series of Preferred Stock (as defined in the Amended and Restated Certificate of Incorporation) and any rights granted pursuant to the Stockholders Agreement, vacancies occurring in any directorship (whether by death, resignation, retirement, disqualification, removal or other cause) and newly-created directorships resulting from any increase in the number of directors shall be filled in accordance with the Amended and Restated Certificate of Incorporation. Any director elected to fill a vacancy or newly-created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Meetings</w:t>
      </w:r>
      <w:r>
        <w:rPr>
          <w:rFonts w:ascii="Times New Roman" w:hAnsi="Times New Roman"/>
          <w:sz w:val="20"/>
        </w:rPr>
        <w:t xml:space="preserve">. Regular meetings of the Board may be held at such places and times as shall be determined from time to time by the Board, either within or without the State of Delaware. Special meetings of the Board may be called by the CEO of the Company or the Chair of the Board or as provided by the Amended and Restated Certificate of Incorporation, and shall be called by the CEO or the Secretary if directed by the Board and shall be at such places and times as they or he or she shall fix. Notice need not be given of regular meetings of the Board. At least 24 hours before each special meeting of the Board, written notice, notice by electronic transmission or oral notice (either in person or by telephone) of the time, date and place of the meeting shall be given to each director. Any director may waive notice of any meeting before or after the meeting. The attendance of a director at any meeting shall constitute a waiver of notice of such meeting, except where the director attends the meeting for the express purpose of objecting, and does so object, at the beginning of the meeting to the transaction of any business because the meeting is not lawfully called or convened. Unless otherwise indicated in the notice thereof, any and all business may be transacted at a special meeting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Quorum, Voting and Adjournment</w:t>
      </w:r>
      <w:r>
        <w:rPr>
          <w:rFonts w:ascii="Times New Roman" w:hAnsi="Times New Roman"/>
          <w:sz w:val="20"/>
        </w:rPr>
        <w:t xml:space="preserve">. Except as otherwise provided by law, the Amended and Restated Certificate of Incorporation or these Bylaws, a majority of the total number of directors shall constitute a quorum for the transaction of business at a meeting of the Board; provided, however, that a quorum shall never be less than one-third the total number of directors. Except as otherwise provided by law, the Amended and Restated Certificate of Incorporation or these Bylaws, the act of a majority of the directors present at a meeting of the Board at which a quorum is present shall be the act of the Board. In the absence of a quorum, a majority of the directors present thereat may adjourn such meeting to another time and place. Notice of such adjourned meeting need not be given if the time and place of such adjourned meeting are announced at the meeting so adjourned.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Committees; Committee Rules</w:t>
      </w:r>
      <w:r>
        <w:rPr>
          <w:rFonts w:ascii="Times New Roman" w:hAnsi="Times New Roman"/>
          <w:sz w:val="20"/>
        </w:rPr>
        <w:t xml:space="preserve">. The Board may, by resolution passed by a majority of the directors, designate one or more committees, each such committee to consist of one or more of the directors of the Company. The meetings of any such committee shall be held in compliance with these Bylaws. The Board may designate one or more directors as alternate members of any committee to replace any absent or disqualified member at any meeting of the committee. Any director designated to serve on any committee shall continue to serve on that committee until their resignation or until otherwise determined by the Board. Any such committee, to the extent provided in the resolution of the Board establishing such committee, shall have and may exercise all the powers and authority of the Board in the management of the business and affairs of the Company, and may authorize the seal of the Company to be affixed to all papers that may require it. Notwithstanding the foregoing, no committee shall have the power or authority of the Board in reference to the following matters: (a) approving or adopting, or recommending to the stockholders of the Company, any action or matter (other than the election or removal of directors) expressly required by the DGCL to be submitted to stockholders of the Company for approval or (b) adopting, amending or repealing any Bylaw of the Company. All committees of the Board shall keep minutes of their meetings and shall report their proceedings to the Board when requested or required by the Board. Each committee of the Board may fix its own rules of procedure and shall hold its meetings as provided by such rules, except as may otherwise be provided by a resolution of the Board designating such committee. Unless otherwise provided in such a resolution, (i) the presence of at least a majority of the members of the committee shall be necessary to constitute a quorum for the transaction of business at a meeting of the committee unless the committee shall consist of one or two members, in which event one member shall constitute a quorum and (ii) all matters shall be determined by a majority vote of the members present at a meeting of the committee at which a quorum is present. In the absence of a quorum, a majority of the directors present may adjourn the meeting of the committee to another time and place. Notice of such adjourned meeting need not be given if the time and place of such adjourned meeting are announced at the meeting so adjourned. Unless otherwise provided in such a resolution, in the event that a member and that member’s alternate, if alternates are designated by the Board, of such committee is or are absent or disqualified, the member or members thereof present at any meeting and not disqualified from voting, whether or not such member or members constitute a quorum, may unanimously appoint another member of the Board to act at the meeting in place of any such absent or disqualified member,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Action Without a Meeting</w:t>
      </w:r>
      <w:r>
        <w:rPr>
          <w:rFonts w:ascii="Times New Roman" w:hAnsi="Times New Roman"/>
          <w:sz w:val="20"/>
        </w:rPr>
        <w:t xml:space="preserve">. Unless otherwise restricted by the Amended and Restated Certificate of Incorporation, any action required or permitted to be taken at any meeting of the Board or of any committee thereof may be taken without a meeting if all members of the Board or any committee thereof, as the case may be, consent thereto in writing or by electronic transmission, and the writing or writings or electronic transmission or transmissions are filed in the minutes of proceedings of the Board or committee. Such filing shall be in paper form if the minutes are maintained in paper form or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Remote Meeting</w:t>
      </w:r>
      <w:r>
        <w:rPr>
          <w:rFonts w:ascii="Times New Roman" w:hAnsi="Times New Roman"/>
          <w:sz w:val="20"/>
        </w:rPr>
        <w:t xml:space="preserve">. Unless otherwise restricted by the Amended and Restated Certificate of Incorporation, members of the Board, or any committee designated by the Board,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Compensation</w:t>
      </w:r>
      <w:r>
        <w:rPr>
          <w:rFonts w:ascii="Times New Roman" w:hAnsi="Times New Roman"/>
          <w:sz w:val="20"/>
        </w:rPr>
        <w:t xml:space="preserve">. The Board shall have the authority to fix the compensation, including fees and reimbursement of expenses, of directors for services to the Company in any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Reliance on Books and Records</w:t>
      </w:r>
      <w:r>
        <w:rPr>
          <w:rFonts w:ascii="Times New Roman" w:hAnsi="Times New Roman"/>
          <w:sz w:val="20"/>
        </w:rPr>
        <w:t xml:space="preserve">. A member of the Board, or a member of any committee designated by the Board shall, in the performance of such person’s duties, be fully protected in relying in good faith upon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 or the Board.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Number</w:t>
      </w:r>
      <w:r>
        <w:rPr>
          <w:rFonts w:ascii="Times New Roman" w:hAnsi="Times New Roman"/>
          <w:sz w:val="20"/>
        </w:rPr>
        <w:t xml:space="preserve">. The officers of the Company shall include a CEO, a President, a Secretary and any officers required by the DGCL, each of whom shall be elected by the Board and who shall hold office for such terms as shall be determined by the Board and until their successors are elected and qualified or until their earlier death, resignation or removal. In addition, the Board may elect one or more Vice Presidents, including one or more Executive Vice Presidents, Senior Vice Presidents, a Treasurer, one or more Assistant Treasurers, one or more Assistant Secretaries and any other additional officers as the Board deems necessary or advisable, who shall hold their office for such terms and shall exercise such powers and perform such duties as shall be determined from time to time by the Board. Any number of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Other Officers and Agents</w:t>
      </w:r>
      <w:r>
        <w:rPr>
          <w:rFonts w:ascii="Times New Roman" w:hAnsi="Times New Roman"/>
          <w:sz w:val="20"/>
        </w:rPr>
        <w:t xml:space="preserve">. The Board may appoint such other officers and agents as it deems advisable, who shall hold their office for such terms and shall exercise and perform such powers and duties as shall be determined from time to time by the Board. The Board may appoint one or more officers called a Vice Chair, each of whom does not need to be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Chief Executive Officer</w:t>
      </w:r>
      <w:r>
        <w:rPr>
          <w:rFonts w:ascii="Times New Roman" w:hAnsi="Times New Roman"/>
          <w:sz w:val="20"/>
        </w:rPr>
        <w:t xml:space="preserve">. The CEO, who may also be the President, subject to the determination of the Board, shall have general executive charge, management, and control of the properties and operations of the Company in the ordinary course of its business, with all such powers with respect to such properties and operations as may be reasonably incident to such responsibilities. If the Board has not elected a Chair of the Board or in the absence or inability to act as the Chair of the Board, the CEO shall exercise all of the powers and discharge all of the duties of the Chair of the Board, but only if the CEO is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President</w:t>
      </w:r>
      <w:r>
        <w:rPr>
          <w:rFonts w:ascii="Times New Roman" w:hAnsi="Times New Roman"/>
          <w:sz w:val="20"/>
        </w:rPr>
        <w:t xml:space="preserve">. The President of the Company shall, subject to the powers of the Board, the Chair of the Board and the CEO, have general charge of the business, affairs and property of the Company, and control over its officers, agents and employees. The President shall see that all orders and resolutions of the Board are carried into effect. The President is authorized to execute bonds, mortgages and other contracts requiring a seal, under the seal of the Company, except where required or permitted by law to be otherwise signed and executed and except where the signing and execution thereof shall be expressly delegated by the Board to some other officer or agent of the Company. The President shall have such other powers and perform such other duties as may be prescribed by the Chair of the Board, the CEO, the Board or as may be provided in these Bylaws. Unless otherwise determined by the Board, the CEO shall be the President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Vice Presidents</w:t>
      </w:r>
      <w:r>
        <w:rPr>
          <w:rFonts w:ascii="Times New Roman" w:hAnsi="Times New Roman"/>
          <w:sz w:val="20"/>
        </w:rPr>
        <w:t xml:space="preserve">. Each Vice President, if any are appointed, of whom one or more may be designated an Executive Vice President or Senior Vice President, shall have such powers and shall perform such duties as shall be assigned to him or her by the CEO or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Treasurer</w:t>
      </w:r>
      <w:r>
        <w:rPr>
          <w:rFonts w:ascii="Times New Roman" w:hAnsi="Times New Roman"/>
          <w:sz w:val="20"/>
        </w:rPr>
        <w:t xml:space="preserve">. The Treasurer shall have custody of the corporate funds, securities, evidences of indebtedness and other valuables of the Company and shall keep full and accurate accounts of receipts and disbursements in books belonging to the Company. The Treasurer shall deposit all moneys and other valuables in the name and to the credit of the Company in such depositories as may be designated by the Board or its designees selected for such purposes. The Treasurer shall disburse the funds of the Company, taking proper vouchers therefor. The Treasurer shall render to the CEO and the Board, upon their request, a report of the financial condition of the Company. If required by the Board, the Treasurer shall give the Company a bond for the faithful discharge of his or her duties in such amount and with such surety as the Board shall prescribe.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Treasurer shall have such further powers and perform such other duties incident to the office of Treasurer as from time to time are assigned to him or her by the CEO or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Secretary</w:t>
      </w:r>
      <w:r>
        <w:rPr>
          <w:rFonts w:ascii="Times New Roman" w:hAnsi="Times New Roman"/>
          <w:sz w:val="20"/>
        </w:rPr>
        <w:t xml:space="preserve">. The Secretary shall: (a) cause minutes of all meetings of the stockholders of the Company and directors to be recorded and kept properly; (b) cause all notices required by these Bylaws or otherwise to be given properly; (c) see that the minute books, stock books and other nonfinancial books, records and papers of the Company are kept properly; and (d) cause all reports, statements, returns, certificates and other documents to be prepared and filed when and as required. The Secretary shall have such further powers and perform such other duties as prescribed from time to time by the CEO or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Assistant Treasurers and Assistant Secretaries</w:t>
      </w:r>
      <w:r>
        <w:rPr>
          <w:rFonts w:ascii="Times New Roman" w:hAnsi="Times New Roman"/>
          <w:sz w:val="20"/>
        </w:rPr>
        <w:t xml:space="preserve">. Each Assistant Treasurer and each Assistant Secretary, if any are appointed, shall be vested with all the powers and shall perform all the duties of the Treasurer and Secretary, respectively, in the absence or disability of such officer, unless or until the CEO or the Board shall otherwise determine. In addition, Assistant Treasurers and Assistant Secretaries shall have such powers and shall perform such duties as shall be assigned to them by the CEO or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Corporate Funds and Checks</w:t>
      </w:r>
      <w:r>
        <w:rPr>
          <w:rFonts w:ascii="Times New Roman" w:hAnsi="Times New Roman"/>
          <w:sz w:val="20"/>
        </w:rPr>
        <w:t xml:space="preserve">. The funds of the Company shall be kept in such depositories as shall from time to time be prescribed by the Board or its designees selected for such purposes. All checks or other orders for the payment of money shall be signed by the CEO, a Vice President, the Treasurer or the Secretary or such other person or agent as may from time to time be authorized and with such countersignature, if any, as may be required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Contracts and Other Documents</w:t>
      </w:r>
      <w:r>
        <w:rPr>
          <w:rFonts w:ascii="Times New Roman" w:hAnsi="Times New Roman"/>
          <w:sz w:val="20"/>
        </w:rPr>
        <w:t xml:space="preserve">. The CEO and the Secretary, or such other officer or officers as may from time to time be authorized by the Board or any other committee given specific authority in the premises by the Board during the intervals between the meetings of the Board, shall have power to sign and execute on behalf of the Company deeds, conveyances and contracts and any and all other documents requiring execution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Ownership of Stock of Another Corporation</w:t>
      </w:r>
      <w:r>
        <w:rPr>
          <w:rFonts w:ascii="Times New Roman" w:hAnsi="Times New Roman"/>
          <w:sz w:val="20"/>
        </w:rPr>
        <w:t xml:space="preserve">. Unless otherwise directed by the Board, the CEO, a Vice President, the Treasurer or the Secretary, or such other officer or agent as shall be authorized by the Board, shall have the power and authority, on behalf of the Company, to attend and to vote at any meeting of securityholders of any entity in which the Company holds securities or equity interests and may exercise, on behalf of the Company, any and all of the rights and powers incident to the ownership of such securities or equity interests at any such meeting, including the authority to execute and deliver proxies and consents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Delegation of Duties</w:t>
      </w:r>
      <w:r>
        <w:rPr>
          <w:rFonts w:ascii="Times New Roman" w:hAnsi="Times New Roman"/>
          <w:sz w:val="20"/>
        </w:rPr>
        <w:t xml:space="preserve">. In the absence, disability or refusal of any officer to exercise and perform his or her duties, the Board may delegate to another officer such powers or duties.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Resignation and Removal</w:t>
      </w:r>
      <w:r>
        <w:rPr>
          <w:rFonts w:ascii="Times New Roman" w:hAnsi="Times New Roman"/>
          <w:sz w:val="20"/>
        </w:rPr>
        <w:t xml:space="preserve">. Any officer of the Company may be removed from office for or without cause at any time by the Board. Any officer may resign at any time in the same manner prescribed under </w:t>
      </w:r>
      <w:r>
        <w:rPr>
          <w:rFonts w:ascii="Times New Roman" w:hAnsi="Times New Roman"/>
          <w:sz w:val="20"/>
          <w:u w:val="single"/>
        </w:rPr>
        <w:t>Section 3.03</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Vacancies</w:t>
      </w:r>
      <w:r>
        <w:rPr>
          <w:rFonts w:ascii="Times New Roman" w:hAnsi="Times New Roman"/>
          <w:sz w:val="20"/>
        </w:rPr>
        <w:t xml:space="preserve">. The Board shall have the power to fill vacancies occurring in any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Compensation</w:t>
      </w:r>
      <w:r>
        <w:rPr>
          <w:rFonts w:ascii="Times New Roman" w:hAnsi="Times New Roman"/>
          <w:sz w:val="20"/>
        </w:rPr>
        <w:t xml:space="preserve">. Compensation of all executive officers (as defined in Rule 3b-7 under the Exchange Act) shall be approved by the Board, and no such officer shall be prevented from receiving such compensation by virtue of his or her also being a director of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Shares With Certificates</w:t>
      </w:r>
      <w:r>
        <w:rPr>
          <w:rFonts w:ascii="Times New Roman" w:hAnsi="Times New Roman"/>
          <w:sz w:val="20"/>
        </w:rPr>
        <w:t xml:space="preserve">. The shares of stock of the Company shall be represented by certificates;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may provide by resolution or resolutions that some or all of any or all classes or series of the Company’s stock shall be uncertificated shares. Any such resolution shall not apply to shares represented by a certificate until such certificate is surrendered to the Company. Every holder of stock in the Company represented by certificates shall be entitled to have a certificate signed by, or in the name of the Company by, (a) the Chair of the Board or the Vice Chair of the Board or the President or a Vice President and (b) the Treasurer or an Assistant Treasurer or the Secretary or an Assistant Secretary, certifying the number and class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the Company owned by such holder. Any or all of the signatures on the certificate may be a facsimile. The Board shall have the power to appoint one or more transfer agents and/or registrars for the transfer or registration of certificates of stock of any class, and may require stock certificates to be countersigned or registered by one or more of such transfer agents and/or registrars.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Shares Without Certificates</w:t>
      </w:r>
      <w:r>
        <w:rPr>
          <w:rFonts w:ascii="Times New Roman" w:hAnsi="Times New Roman"/>
          <w:sz w:val="20"/>
        </w:rPr>
        <w:t xml:space="preserve">. If the Board chooses to issue shares of stock without certificates, the Company, if required by the DGCL, shall, within a reasonable time after the issuance or transfer of shares without certificates, send the stockholder of the Company a written statement of the information required by the DGCL. The Company may adopt a system of issuance, recordation and transfer of its shares of stock by electronic or other means not involving the issuance of certificates;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use of such system by the Company is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Transfer of Shares</w:t>
      </w:r>
      <w:r>
        <w:rPr>
          <w:rFonts w:ascii="Times New Roman" w:hAnsi="Times New Roman"/>
          <w:sz w:val="20"/>
        </w:rPr>
        <w:t xml:space="preserve">. Shares of stock of the Company shall be transferable upon its books by the holders thereof, in person or by their duly authorized attorneys or legal representatives, in the manner prescribed by law, the Amended and Restated Certificate of Incorporation and in these Bylaws, upon surrender to the Company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stock of the Company that are not represented by a certificate shall be transferred in accordance with any procedures adopted by the Company or its agents and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Company to do so. The Board shall have power and authority to make such rules and regulations as it may deem necessary or proper concerning the issuance, transfer and registration of certificates for shares of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Lost, Stolen, Destroyed or Mutilated Certificates</w:t>
      </w:r>
      <w:r>
        <w:rPr>
          <w:rFonts w:ascii="Times New Roman" w:hAnsi="Times New Roman"/>
          <w:sz w:val="20"/>
        </w:rPr>
        <w:t xml:space="preserve">. A new certificate of stock or uncertificated shares may be issued in the place of any certificate previously issued by the Company alleged to have been lost, stolen or destroyed, and the Company may, in its discretion, require the owner of such lost, stolen or destroyed certificate, or his or her legal representative, to give the Company a bond, in such sum as the Company may direct, in order to indemnify the Company against any claims that may be made against it in connection therewith. A new certificate or uncertificated shares of stock may be issued in the place of any certificate previously issued by the Company that has become mutilated upon the surrender by such owner of such mutilated certificate and, if required by the Company, the posting of a bond by such owner in an amount sufficient to indemnify the Company against any claim that may be made against it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List of Stockholders Entitled To Vote</w:t>
      </w:r>
      <w:r>
        <w:rPr>
          <w:rFonts w:ascii="Times New Roman" w:hAnsi="Times New Roman"/>
          <w:sz w:val="20"/>
        </w:rPr>
        <w:t>. The Company shall prepare and make, at least 10 days before every meeting of stockholders of the Company, a complete list of the stockholders of the Company entitled to vote at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record date for determining the stockholders of the Company entitled to vote is less than 10 days before the date of the meeting, the list shall reflect the stockholders of the Company entitled to vote as of the 10th day before the meeting date), arranged in alphabetical order and showing the address of each stockholder of the Company and the number of shares registered in the name of each such stockholder. Nothing in this </w:t>
      </w:r>
      <w:r>
        <w:rPr>
          <w:rFonts w:ascii="Times New Roman" w:hAnsi="Times New Roman"/>
          <w:sz w:val="20"/>
          <w:u w:val="single"/>
        </w:rPr>
        <w:t>Section 5.05</w:t>
      </w:r>
      <w:r>
        <w:rPr>
          <w:rFonts w:ascii="Times New Roman" w:hAnsi="Times New Roman"/>
          <w:sz w:val="20"/>
        </w:rPr>
        <w:t xml:space="preserve"> shall require the Company to include electronic mail addresses or other electronic contact information on such list. Such list shall be open to the examination of any stockholder of the Company, for any purpose germane to the meeting at least 10 days prior to the meeting (a) on a reasonably accessible electronic network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information required to gain access to such list is provided with the notice of meeting) or (b) during ordinary business hours at the principal place of business of the Company.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of the Company entitled to vote at the meeting shall be produced and kept at the time and place of the meeting during the whole time thereof and may be examined by any stockholder of the Company who is present. Except as otherwise provided by law, the stock ledger shall be the only evidence as to who are the stockholders of the Company entitled to examine the list of stockholders of the Company required by this </w:t>
      </w:r>
      <w:r>
        <w:rPr>
          <w:rFonts w:ascii="Times New Roman" w:hAnsi="Times New Roman"/>
          <w:sz w:val="20"/>
          <w:u w:val="single"/>
        </w:rPr>
        <w:t>Section 5.05</w:t>
      </w:r>
      <w:r>
        <w:rPr>
          <w:rFonts w:ascii="Times New Roman" w:hAnsi="Times New Roman"/>
          <w:sz w:val="20"/>
        </w:rPr>
        <w:t xml:space="preserve"> or to vote in person or by proxy at any meeting of stockholders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Fixing Date for Determination of Stockholders of Record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order that the Company may determine the stockholders of the Company entitled to notice of any meeting of stockholders of the Company or any adjournment thereof, the Board may fix a record date, which record date shall not precede the date upon which the resolution fixing the record date is adopted by the Board, and which record date shall, unless otherwise required by law, not be more than 60 nor less than 10 days before the date of such meeting. If the Board so fixes a date, such date shall also be the record date for determining the stockholders of the Company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of the Company entitled to notice of or to vote at a meeting of stockholders of the Company shall be at the Close of Business on the day next preceding the day on which notice is given, or, if notice is waived, at the Close of Business on the day next preceding the day on which the meeting is held. </w:t>
      </w:r>
    </w:p>
    <w:p>
      <w:pPr>
        <w:pStyle w:val="TextBody"/>
        <w:bidi w:val="0"/>
        <w:spacing w:before="240" w:after="0"/>
        <w:jc w:val="left"/>
        <w:rPr>
          <w:rFonts w:ascii="Times New Roman" w:hAnsi="Times New Roman"/>
          <w:sz w:val="20"/>
        </w:rPr>
      </w:pPr>
      <w:r>
        <w:rPr>
          <w:rFonts w:ascii="Times New Roman" w:hAnsi="Times New Roman"/>
          <w:sz w:val="20"/>
        </w:rPr>
        <w:t xml:space="preserve">A determination of stockholders of record entitled to notice of or to vote at a meeting of stockholders of the Company shall apply to any adjournment of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may fix a new record date for determination of stockholders of the Company entitled to vote at the adjourned meeting and in such case shall also fix as the record date for stockholders of the Company entitled to notice of such adjourned meeting the same or an earlier date as that fixed for determination of stockholders of the Company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(B) In order that the Company may determine the stockholders of the Company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60 days prior to such action. If no such record date is fixed, the record date for determining stockholders of the Company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restricted by the Amended and Restated Certificate of Incorporation, in order that the Company may determine the stockholders of the Company entitled to express consent to corporate action in writing without a meeting, the Board may fix a record date, which record date shall not precede the date upon which the resolution fixing the record date is adopted by the Board and which record date shall not be more than 10 days after the date upon which the resolution fixing the record date is adopted by the Board. Subject to the provisions of the Amended and Restated Certificate of Incorporation, any stockholder of record seeking to have the stockholders of the Company authorize or take corporate action by written consent shall, by written notice to the Secretary, request that the Board fix a record date, which notice shall include the text of any proposed resolution. If no record date for determining stockholders of the Company entitled to express consent to corporate action in writing without a meeting is fixed by the Board, (a) when no prior action of the Board is required by law, the record date for such purpose shall be the first date on which a signed written consent setting forth the action taken or proposed to be taken is delivered to the Company in accordance with applicable law and (b) if prior action by the Board is required by law, the record date for such purpose shall be at the Close of Business on the day on which the Board adopts the resolution taking such prior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Registered Stockholders</w:t>
      </w:r>
      <w:r>
        <w:rPr>
          <w:rFonts w:ascii="Times New Roman" w:hAnsi="Times New Roman"/>
          <w:sz w:val="20"/>
        </w:rPr>
        <w:t xml:space="preserve">. Prior to the surrender to the Company of the certificate or certificates for a share or shares of stock or notification to the Company of the transfer of uncertificated shares with a request to record the transfer of such share or shares, the Company may treat the registered owner of such share or shares as the person entitled to receive dividends, to vote, to receive notifications and otherwise to exercise all the rights and powers of an owner of such share or shares. To the fullest extent permitted by law, the Company shall not be bound to recognize any equitable or other claim to or interest in such share or shares on the part of any other person, whether or not it shall have express or other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NOTICE AND WAIVER OF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Notice</w:t>
      </w:r>
      <w:r>
        <w:rPr>
          <w:rFonts w:ascii="Times New Roman" w:hAnsi="Times New Roman"/>
          <w:sz w:val="20"/>
        </w:rPr>
        <w:t xml:space="preserve">. Except as otherwise provided by these Bylaws or as permitted by applicable law, notice to stockholders of the Company shall be given in writing or by electronic transmission in the manner provided in Section 232 of the DGCL, or in any other manner permitted by the DGCL. If mailed, notice to stockholders of the Company shall be deemed given when deposited in the United States mail, postage prepaid, directed to the stockholder of the Company at such stockholder’s address as it appears on the records of the Company. If delivered by courier service, notice shall be deemed given at the earlier of when the notice is received or left at such stockholder’s address as the same appears on the records of the Company. If given by electronic mail, notice shall be deemed given when directed to such stockholder’s electronic mail address unless the stockholder has notified the Company in writing or by electronic transmission of an objection to receiving notice by electronic mail or such notice is prohibited by the DGCL. A notice by electronic mail must include a prominent legend that the communication is an important notice regarding the Company. A notice by electronic mail will include any files attached thereto and any information hyperlinked to a website if such electronic mail includes the contact information of an officer or agent of the Company who is available to assist with accessing such files or information. Notice to stockholders of the Company may also be given by other forms of electronic transmission consented to by the stockholder to whom the notice is given. If given by a posting on an electronic network together with separate notice to the stockholder of such specific posting, such notice shall be deemed given upon the later of (i) such posting and (ii) the giving of such separate notice. If notice is given by any other form of electronic transmission, such notice shall be deemed given when directed to the stockholder. An affidavit of the Secretary or an Assistant Secretary, the transfer agent of the Company or any other agent of the Company that the notice has been given shall, in the absence of fraud, be prima facie evidence of the facts stated therein. Notice shall be deemed to have been given to all stockholders of record who share an address if notice is given in accordance with the “householding” rules set forth in Rule 14a-3(e) under the Exchange Act and Section 233 of the DGCL. Except as otherwise provided herein or permitted by applicable law, notices to any director may be in writing and delivered personally or mailed to such director at such director’s address appearing on the books of the Company, or may be given by telephone or by any means of electronic transmission (including electronic mail) directed to an address for receipt by such director of electronic transmissions appearing on the books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Waiver of Notice</w:t>
      </w:r>
      <w:r>
        <w:rPr>
          <w:rFonts w:ascii="Times New Roman" w:hAnsi="Times New Roman"/>
          <w:sz w:val="20"/>
        </w:rPr>
        <w:t xml:space="preserve">. A written waiver of any notice, signed by a stockholder of the Company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Right to Indemnification</w:t>
      </w:r>
      <w:r>
        <w:rPr>
          <w:rFonts w:ascii="Times New Roman" w:hAnsi="Times New Roman"/>
          <w:sz w:val="20"/>
        </w:rPr>
        <w:t>. Each person who was or is made a party or is threatened to be made a party to or is otherwise involved in any action, suit or proceeding, whether civil, criminal, administrative or investigative (each a “</w:t>
      </w:r>
      <w:r>
        <w:rPr>
          <w:rFonts w:ascii="Times New Roman" w:hAnsi="Times New Roman"/>
          <w:b/>
          <w:sz w:val="20"/>
        </w:rPr>
        <w:t>proceeding</w:t>
      </w:r>
      <w:r>
        <w:rPr>
          <w:rFonts w:ascii="Times New Roman" w:hAnsi="Times New Roman"/>
          <w:sz w:val="20"/>
        </w:rPr>
        <w:t>”), by reason of the fact that he or she is or was a director or an officer of the Company or, while a director or officer of the Company, is or was serving at the request of the Company as a director, officer, employee, agent or trustee of another corporation or of a partnership, joint venture, trust or other enterprise, including service with respect to an employee benefit plan (an “</w:t>
      </w:r>
      <w:r>
        <w:rPr>
          <w:rFonts w:ascii="Times New Roman" w:hAnsi="Times New Roman"/>
          <w:b/>
          <w:sz w:val="20"/>
        </w:rPr>
        <w:t>indemnitee</w:t>
      </w:r>
      <w:r>
        <w:rPr>
          <w:rFonts w:ascii="Times New Roman" w:hAnsi="Times New Roman"/>
          <w:sz w:val="20"/>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Company to the fullest extent permitted by Delaware law, as the same exists or may hereafter be amended (but, in the case of any such amendment, if permitted, only to the extent that such amendment permits the Company to provide broader indemnification rights than such law permitted the Company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provided in </w:t>
      </w:r>
      <w:r>
        <w:rPr>
          <w:rFonts w:ascii="Times New Roman" w:hAnsi="Times New Roman"/>
          <w:sz w:val="20"/>
          <w:u w:val="single"/>
        </w:rPr>
        <w:t>Section 7.03</w:t>
      </w:r>
      <w:r>
        <w:rPr>
          <w:rFonts w:ascii="Times New Roman" w:hAnsi="Times New Roman"/>
          <w:sz w:val="20"/>
        </w:rPr>
        <w:t xml:space="preserve"> hereof with respect to proceedings to enforce rights to indemnification or advancement of expenses or with respect to any compulsory counterclaim brought by such indemnitee, the Company shall indemnify any such indemnitee in connection with a proceeding (or part thereof) initiated by such indemnitee only if such proceeding (or part thereof) was authorized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 to Advancement of Expenses</w:t>
      </w:r>
      <w:r>
        <w:rPr>
          <w:rFonts w:ascii="Times New Roman" w:hAnsi="Times New Roman"/>
          <w:sz w:val="20"/>
        </w:rPr>
        <w:t xml:space="preserve">. In addition to the right to indemnification conferred in </w:t>
      </w:r>
      <w:r>
        <w:rPr>
          <w:rFonts w:ascii="Times New Roman" w:hAnsi="Times New Roman"/>
          <w:sz w:val="20"/>
          <w:u w:val="single"/>
        </w:rPr>
        <w:t>Section 7.01</w:t>
      </w:r>
      <w:r>
        <w:rPr>
          <w:rFonts w:ascii="Times New Roman" w:hAnsi="Times New Roman"/>
          <w:sz w:val="20"/>
        </w:rPr>
        <w:t xml:space="preserve"> hereof, an indemnitee shall also have the right to be paid by the Company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w:t>
      </w:r>
      <w:r>
        <w:rPr>
          <w:rFonts w:ascii="Times New Roman" w:hAnsi="Times New Roman"/>
          <w:sz w:val="20"/>
          <w:u w:val="single"/>
        </w:rPr>
        <w:t>Article VII</w:t>
      </w:r>
      <w:r>
        <w:rPr>
          <w:rFonts w:ascii="Times New Roman" w:hAnsi="Times New Roman"/>
          <w:sz w:val="20"/>
        </w:rPr>
        <w:t xml:space="preserve"> (which shall be governed by </w:t>
      </w:r>
      <w:r>
        <w:rPr>
          <w:rFonts w:ascii="Times New Roman" w:hAnsi="Times New Roman"/>
          <w:sz w:val="20"/>
          <w:u w:val="single"/>
        </w:rPr>
        <w:t>Section 7.03</w:t>
      </w:r>
      <w:r>
        <w:rPr>
          <w:rFonts w:ascii="Times New Roman" w:hAnsi="Times New Roman"/>
          <w:sz w:val="20"/>
        </w:rPr>
        <w:t xml:space="preserve"> hereof) (hereinafter an “</w:t>
      </w:r>
      <w:r>
        <w:rPr>
          <w:rFonts w:ascii="Times New Roman" w:hAnsi="Times New Roman"/>
          <w:b/>
          <w:sz w:val="20"/>
        </w:rPr>
        <w:t>advancement of expenses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service to an employee benefit plan) shall be made solely upon delivery to the Company of an undertaking (an “</w:t>
      </w:r>
      <w:r>
        <w:rPr>
          <w:rFonts w:ascii="Times New Roman" w:hAnsi="Times New Roman"/>
          <w:b/>
          <w:sz w:val="20"/>
        </w:rPr>
        <w:t>undertaking</w:t>
      </w:r>
      <w:r>
        <w:rPr>
          <w:rFonts w:ascii="Times New Roman" w:hAnsi="Times New Roman"/>
          <w:sz w:val="20"/>
        </w:rPr>
        <w:t>”), by or on behalf of such indemnitee, to repay all amounts so advanced if it shall ultimately be determined by final judicial decision from which there is no further right to appeal (a “</w:t>
      </w:r>
      <w:r>
        <w:rPr>
          <w:rFonts w:ascii="Times New Roman" w:hAnsi="Times New Roman"/>
          <w:b/>
          <w:sz w:val="20"/>
        </w:rPr>
        <w:t>final adjudication</w:t>
      </w:r>
      <w:r>
        <w:rPr>
          <w:rFonts w:ascii="Times New Roman" w:hAnsi="Times New Roman"/>
          <w:sz w:val="20"/>
        </w:rPr>
        <w:t xml:space="preserve">”) that such indemnitee is not entitled to be indemnified or entitled to advancement of expenses under Sections 7.01 and 7.02 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Right of Indemnitee to Bring Suit</w:t>
      </w:r>
      <w:r>
        <w:rPr>
          <w:rFonts w:ascii="Times New Roman" w:hAnsi="Times New Roman"/>
          <w:sz w:val="20"/>
        </w:rPr>
        <w:t xml:space="preserve">. If a claim under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7.02</w:t>
      </w:r>
      <w:r>
        <w:rPr>
          <w:rFonts w:ascii="Times New Roman" w:hAnsi="Times New Roman"/>
          <w:sz w:val="20"/>
        </w:rPr>
        <w:t xml:space="preserve"> hereof is not paid in full by the Company within (a) 60 days after a written claim for indemnification has been received by the Company or (b) 20 days after a claim for an advancement of expenses has been received by the Company, the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or otherwise, the indemnitee shall be entitled to be paid also the expense (including attorneys’ fees) of prosecuting or defending such suit. In (a)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(b) any suit brought by the Company to recover an advancement of expenses pursuant to the terms of an undertaking or otherwise, the Company shall be entitled to recover such expenses upon a final adjudication that the indemnitee has not met any applicable standard for indemnification set forth in the DGCL. Neither the failure of the Company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Company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Company to recover an advancement of expenses pursuant to the terms of an undertaking or otherwise, the burden of proving that the indemnitee is not entitled to be indemnified, or to such advancement of expenses, under this </w:t>
      </w:r>
      <w:r>
        <w:rPr>
          <w:rFonts w:ascii="Times New Roman" w:hAnsi="Times New Roman"/>
          <w:sz w:val="20"/>
          <w:u w:val="single"/>
        </w:rPr>
        <w:t>Article VII</w:t>
      </w:r>
      <w:r>
        <w:rPr>
          <w:rFonts w:ascii="Times New Roman" w:hAnsi="Times New Roman"/>
          <w:sz w:val="20"/>
        </w:rPr>
        <w:t xml:space="preserve"> or otherwise shall be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Indemnification Not Exclusive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 of indemnification to or the advancement of expenses and costs to any indemnitee under this </w:t>
      </w:r>
      <w:r>
        <w:rPr>
          <w:rFonts w:ascii="Times New Roman" w:hAnsi="Times New Roman"/>
          <w:sz w:val="20"/>
          <w:u w:val="single"/>
        </w:rPr>
        <w:t>Article VII</w:t>
      </w:r>
      <w:r>
        <w:rPr>
          <w:rFonts w:ascii="Times New Roman" w:hAnsi="Times New Roman"/>
          <w:sz w:val="20"/>
        </w:rPr>
        <w:t xml:space="preserve">, or the entitlement of any indemnitee to indemnification or advancement of expenses and costs under this </w:t>
      </w:r>
      <w:r>
        <w:rPr>
          <w:rFonts w:ascii="Times New Roman" w:hAnsi="Times New Roman"/>
          <w:sz w:val="20"/>
          <w:u w:val="single"/>
        </w:rPr>
        <w:t>Article VII</w:t>
      </w:r>
      <w:r>
        <w:rPr>
          <w:rFonts w:ascii="Times New Roman" w:hAnsi="Times New Roman"/>
          <w:sz w:val="20"/>
        </w:rPr>
        <w:t xml:space="preserve">, shall not limit or restrict in any way the power of the Company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of the Company or disinterested directors or otherwise, both as to action in such indemnitee’s capacity as an officer, director, employee or agent of the Company and as to action in any other capacity. </w:t>
      </w:r>
    </w:p>
    <w:p>
      <w:pPr>
        <w:pStyle w:val="TextBody"/>
        <w:bidi w:val="0"/>
        <w:spacing w:before="240" w:after="0"/>
        <w:jc w:val="left"/>
        <w:rPr>
          <w:rFonts w:ascii="Times New Roman" w:hAnsi="Times New Roman"/>
          <w:sz w:val="20"/>
        </w:rPr>
      </w:pPr>
      <w:r>
        <w:rPr>
          <w:rFonts w:ascii="Times New Roman" w:hAnsi="Times New Roman"/>
          <w:sz w:val="20"/>
        </w:rPr>
        <w:t xml:space="preserve">(B) Given that certain jointly indemnifiable claims (as defined below) may arise due to the service of the indemnitee as a director and/or officer of the Company at the request of the indemnitee-related entities (as defined below), the Company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of Incorporation or these Bylaws (or any other agreement between the Company and such persons) in connection with any such jointly indemnifiable claims, pursuant to and in accordance with the terms of this </w:t>
      </w:r>
      <w:r>
        <w:rPr>
          <w:rFonts w:ascii="Times New Roman" w:hAnsi="Times New Roman"/>
          <w:sz w:val="20"/>
          <w:u w:val="single"/>
        </w:rPr>
        <w:t>Article VII</w:t>
      </w:r>
      <w:r>
        <w:rPr>
          <w:rFonts w:ascii="Times New Roman" w:hAnsi="Times New Roman"/>
          <w:sz w:val="20"/>
        </w:rPr>
        <w:t xml:space="preserve">, irrespective of any right of recovery the indemnitee may have from the indemnitee-related entities. Any obligation on the part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indemnitee-related entities to indemnify or advance expenses to any indemnitee shall be secondary to the Company’s obligation and shall be reduced by any amount that the indemnitee may collect as indemnification or advancement from the Company. The Company irrevocably waives, relinquishes and releases the indemnitee-related entities from any and all claims against the indemnitee-related entities for contribution, subrogation or any other recovery of any kind in respect thereof. Under no circumstance shall the Company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hAnsi="Times New Roman"/>
          <w:sz w:val="20"/>
          <w:u w:val="single"/>
        </w:rPr>
        <w:t>Section 7.04(B</w:t>
      </w:r>
      <w:r>
        <w:rPr>
          <w:rFonts w:ascii="Times New Roman" w:hAnsi="Times New Roman"/>
          <w:sz w:val="20"/>
        </w:rPr>
        <w:t xml:space="preserve">), entitled to enforce this </w:t>
      </w:r>
      <w:r>
        <w:rPr>
          <w:rFonts w:ascii="Times New Roman" w:hAnsi="Times New Roman"/>
          <w:sz w:val="20"/>
          <w:u w:val="single"/>
        </w:rPr>
        <w:t>Section 7.04(B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7.04(B</w:t>
      </w:r>
      <w:r>
        <w:rPr>
          <w:rFonts w:ascii="Times New Roman" w:hAnsi="Times New Roman"/>
          <w:sz w:val="20"/>
        </w:rPr>
        <w:t xml:space="preserve">),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(1) The term “</w:t>
      </w:r>
      <w:r>
        <w:rPr>
          <w:rFonts w:ascii="Times New Roman" w:hAnsi="Times New Roman"/>
          <w:b/>
          <w:sz w:val="20"/>
        </w:rPr>
        <w:t>indemnitee-related entities</w:t>
      </w:r>
      <w:r>
        <w:rPr>
          <w:rFonts w:ascii="Times New Roman" w:hAnsi="Times New Roman"/>
          <w:sz w:val="20"/>
        </w:rPr>
        <w:t xml:space="preserve">”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 (other than as a result of obligations under an insurance policy). </w:t>
      </w:r>
    </w:p>
    <w:p>
      <w:pPr>
        <w:pStyle w:val="TextBody"/>
        <w:bidi w:val="0"/>
        <w:spacing w:before="240" w:after="0"/>
        <w:jc w:val="left"/>
        <w:rPr>
          <w:rFonts w:ascii="Times New Roman" w:hAnsi="Times New Roman"/>
          <w:sz w:val="20"/>
        </w:rPr>
      </w:pPr>
      <w:r>
        <w:rPr>
          <w:rFonts w:ascii="Times New Roman" w:hAnsi="Times New Roman"/>
          <w:sz w:val="20"/>
        </w:rPr>
        <w:t>(2) The term “</w:t>
      </w:r>
      <w:r>
        <w:rPr>
          <w:rFonts w:ascii="Times New Roman" w:hAnsi="Times New Roman"/>
          <w:b/>
          <w:sz w:val="20"/>
        </w:rPr>
        <w:t>jointly indemnifiable claims</w:t>
      </w:r>
      <w:r>
        <w:rPr>
          <w:rFonts w:ascii="Times New Roman" w:hAnsi="Times New Roman"/>
          <w:sz w:val="20"/>
        </w:rPr>
        <w:t xml:space="preserve">” shall be broadly construed and shall include, without limitation, any action, suit or proceeding for which the indemnitee shall be entitled to indemnification or advancement of expenses from both the indemnitee-related entities and the Company pursuant to Delaware law, any agreement or Amended and Restated Certificate of Incorporation, bylaws, partnership agreement, operating agreement, certificate of formation, certificate of limited partnership or comparable organizational documents of the Company or the indemnitee-related entities,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Corporate Obligations; Reliance</w:t>
      </w:r>
      <w:r>
        <w:rPr>
          <w:rFonts w:ascii="Times New Roman" w:hAnsi="Times New Roman"/>
          <w:sz w:val="20"/>
        </w:rPr>
        <w:t xml:space="preserve">. The rights granted pursuant to the provisions of this </w:t>
      </w:r>
      <w:r>
        <w:rPr>
          <w:rFonts w:ascii="Times New Roman" w:hAnsi="Times New Roman"/>
          <w:sz w:val="20"/>
          <w:u w:val="single"/>
        </w:rPr>
        <w:t>Article VII</w:t>
      </w:r>
      <w:r>
        <w:rPr>
          <w:rFonts w:ascii="Times New Roman" w:hAnsi="Times New Roman"/>
          <w:sz w:val="20"/>
        </w:rPr>
        <w:t xml:space="preserve"> shall vest at the time a person becomes a director or officer of the Company and shall be deemed to create a binding contractual obligation on the part of the Company to the persons who from time to time are elected as officers or directors of the Company and such persons in acting in their capacities as officers or directors of the Company or any subsidiary shall be entitled to rely on such provisions of this </w:t>
      </w:r>
      <w:r>
        <w:rPr>
          <w:rFonts w:ascii="Times New Roman" w:hAnsi="Times New Roman"/>
          <w:sz w:val="20"/>
          <w:u w:val="single"/>
        </w:rPr>
        <w:t>Article VII</w:t>
      </w:r>
      <w:r>
        <w:rPr>
          <w:rFonts w:ascii="Times New Roman" w:hAnsi="Times New Roman"/>
          <w:sz w:val="20"/>
        </w:rPr>
        <w:t xml:space="preserve"> without giving notice thereof to the Company. Such rights shall continue as to an indemnitee who has ceased to be a director or officer and shall inure to the benefit of the indemnitee’s heirs, executors and administrators. Any amendment, alteration or repeal of this </w:t>
      </w:r>
      <w:r>
        <w:rPr>
          <w:rFonts w:ascii="Times New Roman" w:hAnsi="Times New Roman"/>
          <w:sz w:val="20"/>
          <w:u w:val="single"/>
        </w:rPr>
        <w:t>Article VII</w:t>
      </w:r>
      <w:r>
        <w:rPr>
          <w:rFonts w:ascii="Times New Roman" w:hAnsi="Times New Roman"/>
          <w:sz w:val="20"/>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Insurance</w:t>
      </w:r>
      <w:r>
        <w:rPr>
          <w:rFonts w:ascii="Times New Roman" w:hAnsi="Times New Roman"/>
          <w:sz w:val="20"/>
        </w:rPr>
        <w:t xml:space="preserve">. The Company may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Indemnification of Employees and Agents of the Company</w:t>
      </w:r>
      <w:r>
        <w:rPr>
          <w:rFonts w:ascii="Times New Roman" w:hAnsi="Times New Roman"/>
          <w:sz w:val="20"/>
        </w:rPr>
        <w:t xml:space="preserve">. The Company may, to the extent authorized by the Board, grant rights to indemnification and to the advancement of expenses to any employee or agent of the Company to the fullest extent of the provisions of this </w:t>
      </w:r>
      <w:r>
        <w:rPr>
          <w:rFonts w:ascii="Times New Roman" w:hAnsi="Times New Roman"/>
          <w:sz w:val="20"/>
          <w:u w:val="single"/>
        </w:rPr>
        <w:t>Article VII</w:t>
      </w:r>
      <w:r>
        <w:rPr>
          <w:rFonts w:ascii="Times New Roman" w:hAnsi="Times New Roman"/>
          <w:sz w:val="20"/>
        </w:rPr>
        <w:t xml:space="preserve"> with respect to the indemnification and advancement of expenses of directors and officers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Savings Clause.</w:t>
      </w:r>
      <w:r>
        <w:rPr>
          <w:rFonts w:ascii="Times New Roman" w:hAnsi="Times New Roman"/>
          <w:sz w:val="20"/>
        </w:rPr>
        <w:t xml:space="preserve"> To the fullest extent permitted by law, if this </w:t>
      </w:r>
      <w:r>
        <w:rPr>
          <w:rFonts w:ascii="Times New Roman" w:hAnsi="Times New Roman"/>
          <w:sz w:val="20"/>
          <w:u w:val="single"/>
        </w:rPr>
        <w:t>Article VII</w:t>
      </w:r>
      <w:r>
        <w:rPr>
          <w:rFonts w:ascii="Times New Roman" w:hAnsi="Times New Roman"/>
          <w:sz w:val="20"/>
        </w:rPr>
        <w:t xml:space="preserve"> or any portion hereof shall be invalidated on any ground by any court of competent jurisdiction, then the Company shall nevertheless indemnify and advance expenses to each person entitled to indemnification under </w:t>
      </w:r>
      <w:r>
        <w:rPr>
          <w:rFonts w:ascii="Times New Roman" w:hAnsi="Times New Roman"/>
          <w:sz w:val="20"/>
          <w:u w:val="single"/>
        </w:rPr>
        <w:t>Section 7.01</w:t>
      </w:r>
      <w:r>
        <w:rPr>
          <w:rFonts w:ascii="Times New Roman" w:hAnsi="Times New Roman"/>
          <w:sz w:val="20"/>
        </w:rPr>
        <w:t xml:space="preserve"> as to all expense, liability and loss (including attorneys’ fees, judgments, fines, ERISA excise taxes or penalties and amounts paid in settlement) actually and reasonably incurred or suffered by such person and for which indemnification and advancement of expenses is available to such person pursuant to this </w:t>
      </w:r>
      <w:r>
        <w:rPr>
          <w:rFonts w:ascii="Times New Roman" w:hAnsi="Times New Roman"/>
          <w:sz w:val="20"/>
          <w:u w:val="single"/>
        </w:rPr>
        <w:t>Article VII</w:t>
      </w:r>
      <w:r>
        <w:rPr>
          <w:rFonts w:ascii="Times New Roman" w:hAnsi="Times New Roman"/>
          <w:sz w:val="20"/>
        </w:rPr>
        <w:t xml:space="preserve"> to the fullest extent permitted by any applicable portion of this </w:t>
      </w:r>
      <w:r>
        <w:rPr>
          <w:rFonts w:ascii="Times New Roman" w:hAnsi="Times New Roman"/>
          <w:sz w:val="20"/>
          <w:u w:val="single"/>
        </w:rPr>
        <w:t>Article VII</w:t>
      </w:r>
      <w:r>
        <w:rPr>
          <w:rFonts w:ascii="Times New Roman" w:hAnsi="Times New Roman"/>
          <w:sz w:val="20"/>
        </w:rPr>
        <w:t xml:space="preserve"> that shall not have been invalidated.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Electronic Transmission</w:t>
      </w:r>
      <w:r>
        <w:rPr>
          <w:rFonts w:ascii="Times New Roman" w:hAnsi="Times New Roman"/>
          <w:sz w:val="20"/>
        </w:rPr>
        <w:t>. For purposes of these Bylaws, “</w:t>
      </w:r>
      <w:r>
        <w:rPr>
          <w:rFonts w:ascii="Times New Roman" w:hAnsi="Times New Roman"/>
          <w:b/>
          <w:sz w:val="20"/>
        </w:rPr>
        <w:t>electronic transmission</w:t>
      </w:r>
      <w:r>
        <w:rPr>
          <w:rFonts w:ascii="Times New Roman" w:hAnsi="Times New Roman"/>
          <w:sz w:val="20"/>
        </w:rPr>
        <w:t>,” “</w:t>
      </w:r>
      <w:r>
        <w:rPr>
          <w:rFonts w:ascii="Times New Roman" w:hAnsi="Times New Roman"/>
          <w:b/>
          <w:sz w:val="20"/>
        </w:rPr>
        <w:t>electronic mail</w:t>
      </w:r>
      <w:r>
        <w:rPr>
          <w:rFonts w:ascii="Times New Roman" w:hAnsi="Times New Roman"/>
          <w:sz w:val="20"/>
        </w:rPr>
        <w:t>” and “</w:t>
      </w:r>
      <w:r>
        <w:rPr>
          <w:rFonts w:ascii="Times New Roman" w:hAnsi="Times New Roman"/>
          <w:b/>
          <w:sz w:val="20"/>
        </w:rPr>
        <w:t>electronic mail address</w:t>
      </w:r>
      <w:r>
        <w:rPr>
          <w:rFonts w:ascii="Times New Roman" w:hAnsi="Times New Roman"/>
          <w:sz w:val="20"/>
        </w:rPr>
        <w:t xml:space="preserve">,” as used herein, shall have the meanings ascribed thereto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Facsimile / Electronic Signatures</w:t>
      </w:r>
      <w:r>
        <w:rPr>
          <w:rFonts w:ascii="Times New Roman" w:hAnsi="Times New Roman"/>
          <w:sz w:val="20"/>
        </w:rPr>
        <w:t xml:space="preserve">. In addition to the provisions for use of facsimile signatures elsewhere specifically authorized in these Bylaws, Docusign, facsimile and other forms of electronic signatures of any director or officer of the Company may be used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Books and Records</w:t>
      </w:r>
      <w:r>
        <w:rPr>
          <w:rFonts w:ascii="Times New Roman" w:hAnsi="Times New Roman"/>
          <w:sz w:val="20"/>
        </w:rPr>
        <w:t xml:space="preserve">. Any records administered by or on behalf of the Company in the regular course of its business, including its stock ledger, books of account, and minute books, may be maintained on any information storage device, method, or one or more electronic networks or databases (including one or more distributed electronic networks or databases) at such place or places, whether inside or outside of the State of Delaware, as may from time to time be designated by the Board; provided that the records so kept can be converted into clearly legible paper form within a reasonable time, and, with respect to the stock ledger, the records so kept comply with Section 224 of the DGCL. The Company shall so convert any records so kept upon the request of any person entitled to inspect such records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Corporate Seal</w:t>
      </w:r>
      <w:r>
        <w:rPr>
          <w:rFonts w:ascii="Times New Roman" w:hAnsi="Times New Roman"/>
          <w:sz w:val="20"/>
        </w:rPr>
        <w:t xml:space="preserve">. The Board may provide a suitable seal, containing the name of the Company, which seal shall be in the charge of the Secretary. If and when so directed by the Board or a committee thereof, duplicates of the seal may be kept and used by the Treasurer or by an Assistant Secretary or Assistant Treasurer.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Fiscal Year</w:t>
      </w:r>
      <w:r>
        <w:rPr>
          <w:rFonts w:ascii="Times New Roman" w:hAnsi="Times New Roman"/>
          <w:sz w:val="20"/>
        </w:rPr>
        <w:t xml:space="preserve">. The fiscal year of the Company shall end each year on December 31st of that year, or such other day as the Board may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Section Headings</w:t>
      </w:r>
      <w:r>
        <w:rPr>
          <w:rFonts w:ascii="Times New Roman" w:hAnsi="Times New Roman"/>
          <w:sz w:val="20"/>
        </w:rPr>
        <w:t xml:space="preserve">. Section headings in these Bylaws are for convenience of reference only and shall not be given any substantive effect in limiting or otherwise construing any provision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Inconsistent Provisions</w:t>
      </w:r>
      <w:r>
        <w:rPr>
          <w:rFonts w:ascii="Times New Roman" w:hAnsi="Times New Roman"/>
          <w:sz w:val="20"/>
        </w:rPr>
        <w:t xml:space="preserve">. In the event that any provision of these Bylaws is or becomes inconsistent with any provision of the Amended and Restated Certificate of Incorporation, the DGCL or any other applicable law, such provision of these Bylaws shall not be given any effect to the extent of such inconsistency but shall otherwise be given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Severability</w:t>
      </w:r>
      <w:r>
        <w:rPr>
          <w:rFonts w:ascii="Times New Roman" w:hAnsi="Times New Roman"/>
          <w:sz w:val="20"/>
        </w:rPr>
        <w:t xml:space="preserve">. If any provision of these Bylaws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these Bylaws and the application of such provision to other persons or entities or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Emergency Bylaws.</w:t>
      </w:r>
      <w:r>
        <w:rPr>
          <w:rFonts w:ascii="Times New Roman" w:hAnsi="Times New Roman"/>
          <w:sz w:val="20"/>
        </w:rPr>
        <w:t xml:space="preserve"> This </w:t>
      </w:r>
      <w:r>
        <w:rPr>
          <w:rFonts w:ascii="Times New Roman" w:hAnsi="Times New Roman"/>
          <w:sz w:val="20"/>
          <w:u w:val="single"/>
        </w:rPr>
        <w:t>Section 8.09</w:t>
      </w:r>
      <w:r>
        <w:rPr>
          <w:rFonts w:ascii="Times New Roman" w:hAnsi="Times New Roman"/>
          <w:sz w:val="20"/>
        </w:rPr>
        <w:t xml:space="preserve"> shall be operative during any emergency condition as contemplated by Section 110 of the DGCL (an “</w:t>
      </w:r>
      <w:r>
        <w:rPr>
          <w:rFonts w:ascii="Times New Roman" w:hAnsi="Times New Roman"/>
          <w:b/>
          <w:sz w:val="20"/>
        </w:rPr>
        <w:t>Emergency</w:t>
      </w:r>
      <w:r>
        <w:rPr>
          <w:rFonts w:ascii="Times New Roman" w:hAnsi="Times New Roman"/>
          <w:sz w:val="20"/>
        </w:rPr>
        <w:t xml:space="preserve">”), notwithstanding any different or conflicting provisions in these Bylaws, the Amended and Restated Certificate of Incorporation or the DGCL. In the event of any Emergency, or other similar emergency condition, if a quorum cannot be readily convened for a meeting, the director or directors in attendance at a meeting of the Board or a standing committee thereof shall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quorum. Such director or directors in attendance may further take action to appoint one or more of themselves or other directors of the Company to membership on any standing or temporary committees of the Board as they shall deem necessary and appropriate. Except as the Board may otherwise determine, during any Emergency, the Company and its directors and officers, may exercise any authority and take any action or measure contemplated by Section 110 of the DGCL.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Amendments</w:t>
      </w:r>
      <w:r>
        <w:rPr>
          <w:rFonts w:ascii="Times New Roman" w:hAnsi="Times New Roman"/>
          <w:sz w:val="20"/>
        </w:rPr>
        <w:t xml:space="preserve">. The Board is expressly authorized to make, repeal, alter, amend and rescind, in whole or in part, these Bylaws without the assent or vote of the stockholders of the Company in any manner not inconsistent with the laws of the State of Delaware or the Amended and Restated Certificate of Incorporation and subject to the terms of the Stockholders Agreement. Before the Trigger Event, the affirmative vote of the holders of a majority in voting power of all the then-outstanding shares of Common Stock (as defined in the Amended and Restated Certificate of Incorporation) entitled to vote thereon, with both Class A and Class B Common Stock holders voting together as a single class, shall be required in order for the stockholders of the Company to alter, amend, repeal or rescind, in whole or in part, any provision of the Bylaws or to adopt any provision inconsistent therewith. Notwithstanding any other provisions of these Bylaws or any provision of law that might otherwise permit a lesser vote of the stockholders of the Company, from and after the Trigger Event, in addition to any vote of the holders of any class or series of shares of the Company required by the Amended and Restated Certificate of Incorporation (including any certificate of designation relating to any series of Preferred Stock), these Bylaws or applicable law, the affirmative vote of the holders of at least 66 2/3% in voting power of all the then-outstanding shares of Common Stock of the Company entitled to vote thereon, with both Class A and Class B Common Stock holders voting together as a single class, shall be required in order for the stockholders of the Company to alter, amend, repeal or rescind, in whole or in part, any provision of these Bylaws (including this </w:t>
      </w:r>
      <w:r>
        <w:rPr>
          <w:rFonts w:ascii="Times New Roman" w:hAnsi="Times New Roman"/>
          <w:sz w:val="20"/>
          <w:u w:val="single"/>
        </w:rPr>
        <w:t>Section 9.01</w:t>
      </w:r>
      <w:r>
        <w:rPr>
          <w:rFonts w:ascii="Times New Roman" w:hAnsi="Times New Roman"/>
          <w:sz w:val="20"/>
        </w:rPr>
        <w:t xml:space="preserve">) or to adopt any provision inconsistent herewith.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right"/>
        <w:rPr>
          <w:rFonts w:ascii="Times New Roman" w:hAnsi="Times New Roman"/>
          <w:b/>
          <w:sz w:val="20"/>
        </w:rPr>
      </w:pPr>
      <w:bookmarkStart w:id="9" w:name="d88011dex41.htm"/>
      <w:bookmarkStart w:id="10" w:name="ksd88011dex41"/>
      <w:bookmarkEnd w:id="9"/>
      <w:bookmarkEnd w:id="10"/>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STOCKHOLDERS AGREEMENT OF </w:t>
      </w:r>
    </w:p>
    <w:p>
      <w:pPr>
        <w:pStyle w:val="TextBody"/>
        <w:bidi w:val="0"/>
        <w:spacing w:before="0" w:after="0"/>
        <w:jc w:val="center"/>
        <w:rPr>
          <w:rFonts w:ascii="Times New Roman" w:hAnsi="Times New Roman"/>
          <w:b/>
          <w:sz w:val="20"/>
        </w:rPr>
      </w:pPr>
      <w:r>
        <w:rPr>
          <w:rFonts w:ascii="Times New Roman" w:hAnsi="Times New Roman"/>
          <w:b/>
          <w:sz w:val="20"/>
        </w:rPr>
        <w:t xml:space="preserve">ITG, INC. </w:t>
      </w:r>
    </w:p>
    <w:p>
      <w:pPr>
        <w:pStyle w:val="TextBody"/>
        <w:bidi w:val="0"/>
        <w:spacing w:before="240" w:after="0"/>
        <w:jc w:val="left"/>
        <w:rPr>
          <w:rFonts w:ascii="Times New Roman" w:hAnsi="Times New Roman"/>
          <w:sz w:val="20"/>
        </w:rPr>
      </w:pPr>
      <w:r>
        <w:rPr>
          <w:rFonts w:ascii="Times New Roman" w:hAnsi="Times New Roman"/>
          <w:sz w:val="20"/>
        </w:rPr>
        <w:t>THIS STOCKHOLDERS AGREEMENT, dated as of July 2, 2026 (as it may be amended or otherwise modified from time to time in accordance with the terms hereof, this “</w:t>
      </w:r>
      <w:r>
        <w:rPr>
          <w:rFonts w:ascii="Times New Roman" w:hAnsi="Times New Roman"/>
          <w:sz w:val="20"/>
          <w:u w:val="single"/>
        </w:rPr>
        <w:t>Agreement</w:t>
      </w:r>
      <w:r>
        <w:rPr>
          <w:rFonts w:ascii="Times New Roman" w:hAnsi="Times New Roman"/>
          <w:sz w:val="20"/>
        </w:rPr>
        <w:t>”), is entered into by and among ITG, Inc., a Delaware corporation (the “</w:t>
      </w:r>
      <w:r>
        <w:rPr>
          <w:rFonts w:ascii="Times New Roman" w:hAnsi="Times New Roman"/>
          <w:sz w:val="20"/>
          <w:u w:val="single"/>
        </w:rPr>
        <w:t>Company</w:t>
      </w:r>
      <w:r>
        <w:rPr>
          <w:rFonts w:ascii="Times New Roman" w:hAnsi="Times New Roman"/>
          <w:sz w:val="20"/>
        </w:rPr>
        <w:t>”), OCM Power VI AIV Holdings (Delaware), L.P., a Delaware limited partnership (“</w:t>
      </w:r>
      <w:r>
        <w:rPr>
          <w:rFonts w:ascii="Times New Roman" w:hAnsi="Times New Roman"/>
          <w:sz w:val="20"/>
          <w:u w:val="single"/>
        </w:rPr>
        <w:t>Oaktree Blocked Fund</w:t>
      </w:r>
      <w:r>
        <w:rPr>
          <w:rFonts w:ascii="Times New Roman" w:hAnsi="Times New Roman"/>
          <w:sz w:val="20"/>
        </w:rPr>
        <w:t>”), OCM ITG Aggregator, LLC, a Delaware limited liability company (“</w:t>
      </w:r>
      <w:r>
        <w:rPr>
          <w:rFonts w:ascii="Times New Roman" w:hAnsi="Times New Roman"/>
          <w:sz w:val="20"/>
          <w:u w:val="single"/>
        </w:rPr>
        <w:t>Oaktree Aggregator</w:t>
      </w:r>
      <w:r>
        <w:rPr>
          <w:rFonts w:ascii="Times New Roman" w:hAnsi="Times New Roman"/>
          <w:sz w:val="20"/>
        </w:rPr>
        <w:t>” and, together with Oaktree Blocked Fund, the “</w:t>
      </w:r>
      <w:r>
        <w:rPr>
          <w:rFonts w:ascii="Times New Roman" w:hAnsi="Times New Roman"/>
          <w:sz w:val="20"/>
          <w:u w:val="single"/>
        </w:rPr>
        <w:t>Investors</w:t>
      </w:r>
      <w:r>
        <w:rPr>
          <w:rFonts w:ascii="Times New Roman" w:hAnsi="Times New Roman"/>
          <w:sz w:val="20"/>
        </w:rPr>
        <w:t>”), and ITG Management Holdings, LLC, a Delaware limited liability company (“</w:t>
      </w:r>
      <w:r>
        <w:rPr>
          <w:rFonts w:ascii="Times New Roman" w:hAnsi="Times New Roman"/>
          <w:sz w:val="20"/>
          <w:u w:val="single"/>
        </w:rPr>
        <w:t>Management Holdings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Oaktree Blocked Fund owns Class A Common Stock of the Company and Oaktree Aggregator and Management Holdings own, directly or indirectly, outstanding limited liability company interests in ITG Parent, LLC, a Delaware limited liability company (“</w:t>
      </w:r>
      <w:r>
        <w:rPr>
          <w:rFonts w:ascii="Times New Roman" w:hAnsi="Times New Roman"/>
          <w:sz w:val="20"/>
          <w:u w:val="single"/>
        </w:rPr>
        <w:t>ITG Parent</w:t>
      </w:r>
      <w:r>
        <w:rPr>
          <w:rFonts w:ascii="Times New Roman" w:hAnsi="Times New Roman"/>
          <w:sz w:val="20"/>
        </w:rPr>
        <w:t>”), which limited liability company interests constitute and are defined as “Common Units” pursuant to the Second Amended and Restated Limited Liability Company Agreement of ITG Parent, dated as of July 1, 2026 (as it may be amended or otherwise modified from time to time, the “</w:t>
      </w:r>
      <w:r>
        <w:rPr>
          <w:rFonts w:ascii="Times New Roman" w:hAnsi="Times New Roman"/>
          <w:sz w:val="20"/>
          <w:u w:val="single"/>
        </w:rPr>
        <w:t>LLC Agreement</w:t>
      </w:r>
      <w:r>
        <w:rPr>
          <w:rFonts w:ascii="Times New Roman" w:hAnsi="Times New Roman"/>
          <w:sz w:val="20"/>
        </w:rPr>
        <w:t>,” and such limited liability company interests, the “</w:t>
      </w:r>
      <w:r>
        <w:rPr>
          <w:rFonts w:ascii="Times New Roman" w:hAnsi="Times New Roman"/>
          <w:sz w:val="20"/>
          <w:u w:val="single"/>
        </w:rPr>
        <w:t>Common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contemplating an offering and sale of the shares of Class A Common Stock in an underwritten initial public offering (the “</w:t>
      </w:r>
      <w:r>
        <w:rPr>
          <w:rFonts w:ascii="Times New Roman" w:hAnsi="Times New Roman"/>
          <w:sz w:val="20"/>
          <w:u w:val="single"/>
        </w:rPr>
        <w:t>IPO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and immediately prior to the IPO, the Company will be a party to a series of reorganization transactions with ITG Parent and various other parties as a result of which, among other things, (i) the Company will hold, indirectly through its subsidiary ITG Intermediate, LLC, a Delaware limited liability company (“</w:t>
      </w:r>
      <w:r>
        <w:rPr>
          <w:rFonts w:ascii="Times New Roman" w:hAnsi="Times New Roman"/>
          <w:sz w:val="20"/>
          <w:u w:val="single"/>
        </w:rPr>
        <w:t>Intermediate</w:t>
      </w:r>
      <w:r>
        <w:rPr>
          <w:rFonts w:ascii="Times New Roman" w:hAnsi="Times New Roman"/>
          <w:sz w:val="20"/>
        </w:rPr>
        <w:t xml:space="preserve">”), Common Units, (ii) Intermediate will become the sole managing member of ITG Parent, and (iii) Oaktree Aggregator and Management Holdings will become holders of Class B Common Stock;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upon completion of the IPO, Oaktree Blocked Fund will continue to be a record holder of shares of Class A Common Stock and Oaktree Aggregator and Management Holdings will continue to be the record holders of shares of Class B Common Stock;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immediately following the completion of the IPO, (i) the Company will contribute the net proceeds of the IPO to Intermediate, which will contribute such net proceeds to ITG Parent in exchange for additional Common Units, and such net proceeds would be used by the subsidiaries of ITG Parent to repay certain amounts under its revolving credit facility and term loan facility, and, to the extent of any remaining net proceeds, for general corporate purposes to support the growth of the business;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and effective upon the completion of the IPO (such date of completion, the “</w:t>
      </w:r>
      <w:r>
        <w:rPr>
          <w:rFonts w:ascii="Times New Roman" w:hAnsi="Times New Roman"/>
          <w:sz w:val="20"/>
          <w:u w:val="single"/>
        </w:rPr>
        <w:t>IPO Date</w:t>
      </w:r>
      <w:r>
        <w:rPr>
          <w:rFonts w:ascii="Times New Roman" w:hAnsi="Times New Roman"/>
          <w:sz w:val="20"/>
        </w:rPr>
        <w:t xml:space="preserve">”), the Company, the Investors and Management Holdings wish to set forth certain understandings between such parties, including with respect to certain governance and voting matters;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this Agreement shall become effective upon the Closing on the IPO Date.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herein and other good and valuable consideration, the receipt and sufficiency of which are hereby acknowledged, the parties mutually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Action</w:t>
      </w:r>
      <w:r>
        <w:rPr>
          <w:rFonts w:ascii="Times New Roman" w:hAnsi="Times New Roman"/>
          <w:sz w:val="20"/>
        </w:rPr>
        <w:t xml:space="preserve">” means any claim, charge, demand, action, cause of action, inquiry, audit, suit, arbitration, indictment, litigation, hearing or other proceeding (whether civil, criminal, administrative, judicial or investigative, whether formal or informal, whether public or private).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when used with reference to another Person, any Person, directly or indirectly, through one or more intermediaries, controlling, controlled by, or under common control with, such other Person; provided that, for the avoidance of doubt, Affiliates of Oaktree shall include its employees in their capacities as such but shall exclude advisors, consultants, operating partners and similar service providers.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introductory paragraph. </w:t>
      </w:r>
    </w:p>
    <w:p>
      <w:pPr>
        <w:pStyle w:val="TextBody"/>
        <w:bidi w:val="0"/>
        <w:spacing w:before="240" w:after="0"/>
        <w:jc w:val="left"/>
        <w:rPr/>
      </w:pPr>
      <w:r>
        <w:rPr/>
        <w:t>“</w:t>
      </w:r>
      <w:r>
        <w:rPr>
          <w:rFonts w:ascii="Times New Roman" w:hAnsi="Times New Roman"/>
          <w:sz w:val="20"/>
          <w:u w:val="single"/>
        </w:rPr>
        <w:t>Authorized Recipients</w:t>
      </w:r>
      <w:r>
        <w:rPr>
          <w:rFonts w:ascii="Times New Roman" w:hAnsi="Times New Roman"/>
          <w:sz w:val="20"/>
        </w:rPr>
        <w:t xml:space="preserve">” has the meaning set forth in </w:t>
      </w:r>
      <w:r>
        <w:rPr>
          <w:rFonts w:ascii="Times New Roman" w:hAnsi="Times New Roman"/>
          <w:sz w:val="20"/>
          <w:u w:val="single"/>
        </w:rPr>
        <w:t>Section 1.05(a)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Beneficial Owner</w:t>
      </w:r>
      <w:r>
        <w:rPr>
          <w:rFonts w:ascii="Times New Roman" w:hAnsi="Times New Roman"/>
          <w:sz w:val="20"/>
        </w:rPr>
        <w:t>” means, with respect to any security, any Person who directly or indirectly, through any contract, arrangement, understanding, relationship or otherwise, has (a) voting power, which includes the power to vote, or to direct the voting of, such security or (b) investment power, which includes the power to dispose, or to direct the disposition of, such security. The terms “</w:t>
      </w:r>
      <w:r>
        <w:rPr>
          <w:rFonts w:ascii="Times New Roman" w:hAnsi="Times New Roman"/>
          <w:sz w:val="20"/>
          <w:u w:val="single"/>
        </w:rPr>
        <w:t>Beneficially Own</w:t>
      </w:r>
      <w:r>
        <w:rPr>
          <w:rFonts w:ascii="Times New Roman" w:hAnsi="Times New Roman"/>
          <w:sz w:val="20"/>
        </w:rPr>
        <w:t>” and “</w:t>
      </w:r>
      <w:r>
        <w:rPr>
          <w:rFonts w:ascii="Times New Roman" w:hAnsi="Times New Roman"/>
          <w:sz w:val="20"/>
          <w:u w:val="single"/>
        </w:rPr>
        <w:t>Beneficial Ownership</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calendar day other than a Saturday, Sunday or other day on which commercial banks in New York, New York are authorized or required to close. </w:t>
      </w:r>
    </w:p>
    <w:p>
      <w:pPr>
        <w:pStyle w:val="TextBody"/>
        <w:bidi w:val="0"/>
        <w:spacing w:before="240" w:after="0"/>
        <w:jc w:val="left"/>
        <w:rPr/>
      </w:pPr>
      <w:r>
        <w:rPr/>
        <w:t>“</w:t>
      </w:r>
      <w:r>
        <w:rPr>
          <w:rFonts w:ascii="Times New Roman" w:hAnsi="Times New Roman"/>
          <w:sz w:val="20"/>
          <w:u w:val="single"/>
        </w:rPr>
        <w:t>Bylaws</w:t>
      </w:r>
      <w:r>
        <w:rPr>
          <w:rFonts w:ascii="Times New Roman" w:hAnsi="Times New Roman"/>
          <w:sz w:val="20"/>
        </w:rPr>
        <w:t xml:space="preserve">” means the amended and restated bylaws of the Company, as in effect on the IPO Date, as may be amended or otherwise modified from time to time. </w:t>
      </w:r>
    </w:p>
    <w:p>
      <w:pPr>
        <w:pStyle w:val="TextBody"/>
        <w:bidi w:val="0"/>
        <w:spacing w:before="240" w:after="0"/>
        <w:jc w:val="left"/>
        <w:rPr/>
      </w:pPr>
      <w:r>
        <w:rPr/>
        <w:t>“</w:t>
      </w:r>
      <w:r>
        <w:rPr>
          <w:rFonts w:ascii="Times New Roman" w:hAnsi="Times New Roman"/>
          <w:sz w:val="20"/>
          <w:u w:val="single"/>
        </w:rPr>
        <w:t>Certificate of Incorporation</w:t>
      </w:r>
      <w:r>
        <w:rPr>
          <w:rFonts w:ascii="Times New Roman" w:hAnsi="Times New Roman"/>
          <w:sz w:val="20"/>
        </w:rPr>
        <w:t xml:space="preserve">” means the amended and restated certificate of incorporation of the Company, as in effect on the IPO Date, as may be amended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Chosen Courts</w:t>
      </w:r>
      <w:r>
        <w:rPr>
          <w:rFonts w:ascii="Times New Roman" w:hAnsi="Times New Roman"/>
          <w:sz w:val="20"/>
        </w:rPr>
        <w:t xml:space="preserve">” has the meaning set forth in </w:t>
      </w:r>
      <w:r>
        <w:rPr>
          <w:rFonts w:ascii="Times New Roman" w:hAnsi="Times New Roman"/>
          <w:sz w:val="20"/>
          <w:u w:val="single"/>
        </w:rPr>
        <w:t>Section 1.07(k)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Class A Common Stock</w:t>
      </w:r>
      <w:r>
        <w:rPr>
          <w:rFonts w:ascii="Times New Roman" w:hAnsi="Times New Roman"/>
          <w:sz w:val="20"/>
        </w:rPr>
        <w:t xml:space="preserve">” means the Class A common stock, par value $0.001 per share, of the Company. </w:t>
      </w:r>
    </w:p>
    <w:p>
      <w:pPr>
        <w:pStyle w:val="TextBody"/>
        <w:bidi w:val="0"/>
        <w:spacing w:before="240" w:after="0"/>
        <w:jc w:val="left"/>
        <w:rPr/>
      </w:pPr>
      <w:r>
        <w:rPr/>
        <w:t>“</w:t>
      </w:r>
      <w:r>
        <w:rPr>
          <w:rFonts w:ascii="Times New Roman" w:hAnsi="Times New Roman"/>
          <w:sz w:val="20"/>
          <w:u w:val="single"/>
        </w:rPr>
        <w:t>Class B Common Stock</w:t>
      </w:r>
      <w:r>
        <w:rPr>
          <w:rFonts w:ascii="Times New Roman" w:hAnsi="Times New Roman"/>
          <w:sz w:val="20"/>
        </w:rPr>
        <w:t xml:space="preserve">” means the Class B common stock, par value $0.001 per share, of the Company. </w:t>
      </w:r>
    </w:p>
    <w:p>
      <w:pPr>
        <w:pStyle w:val="TextBody"/>
        <w:bidi w:val="0"/>
        <w:spacing w:before="240" w:after="0"/>
        <w:jc w:val="left"/>
        <w:rPr/>
      </w:pPr>
      <w:r>
        <w:rPr>
          <w:u w:val="single"/>
        </w:rPr>
        <w:t>“</w:t>
      </w:r>
      <w:r>
        <w:rPr>
          <w:rFonts w:ascii="Times New Roman" w:hAnsi="Times New Roman"/>
          <w:sz w:val="20"/>
          <w:u w:val="single"/>
        </w:rPr>
        <w:t>Closing”</w:t>
      </w:r>
      <w:r>
        <w:rPr>
          <w:rFonts w:ascii="Times New Roman" w:hAnsi="Times New Roman"/>
          <w:sz w:val="20"/>
        </w:rPr>
        <w:t xml:space="preserve"> means the closing of the IPO on the IPO Date. </w:t>
      </w:r>
    </w:p>
    <w:p>
      <w:pPr>
        <w:pStyle w:val="TextBody"/>
        <w:bidi w:val="0"/>
        <w:spacing w:before="240" w:after="0"/>
        <w:jc w:val="left"/>
        <w:rPr/>
      </w:pPr>
      <w:r>
        <w:rPr/>
        <w:t>“</w:t>
      </w:r>
      <w:r>
        <w:rPr>
          <w:rFonts w:ascii="Times New Roman" w:hAnsi="Times New Roman"/>
          <w:sz w:val="20"/>
          <w:u w:val="single"/>
        </w:rPr>
        <w:t>Common Stock</w:t>
      </w:r>
      <w:r>
        <w:rPr>
          <w:rFonts w:ascii="Times New Roman" w:hAnsi="Times New Roman"/>
          <w:sz w:val="20"/>
        </w:rPr>
        <w:t xml:space="preserve">” means the Class A Common Stock and the Class B Common Stock. </w:t>
      </w:r>
    </w:p>
    <w:p>
      <w:pPr>
        <w:pStyle w:val="TextBody"/>
        <w:bidi w:val="0"/>
        <w:spacing w:before="240" w:after="0"/>
        <w:jc w:val="left"/>
        <w:rPr/>
      </w:pPr>
      <w:r>
        <w:rPr/>
        <w:t>“</w:t>
      </w:r>
      <w:r>
        <w:rPr>
          <w:rFonts w:ascii="Times New Roman" w:hAnsi="Times New Roman"/>
          <w:sz w:val="20"/>
          <w:u w:val="single"/>
        </w:rPr>
        <w:t>Confidential Information</w:t>
      </w:r>
      <w:r>
        <w:rPr>
          <w:rFonts w:ascii="Times New Roman" w:hAnsi="Times New Roman"/>
          <w:sz w:val="20"/>
        </w:rPr>
        <w:t xml:space="preserve">” has the meaning set forth in </w:t>
      </w:r>
      <w:r>
        <w:rPr>
          <w:rFonts w:ascii="Times New Roman" w:hAnsi="Times New Roman"/>
          <w:sz w:val="20"/>
          <w:u w:val="single"/>
        </w:rPr>
        <w:t>Section 1.05(a)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means the Delaware General Corporation Law, as amended from time to time. </w:t>
      </w:r>
    </w:p>
    <w:p>
      <w:pPr>
        <w:pStyle w:val="TextBody"/>
        <w:bidi w:val="0"/>
        <w:spacing w:before="240" w:after="0"/>
        <w:jc w:val="left"/>
        <w:rPr/>
      </w:pPr>
      <w:r>
        <w:rPr/>
        <w:t>“</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pPr>
      <w:r>
        <w:rPr/>
        <w:t>“</w:t>
      </w:r>
      <w:r>
        <w:rPr>
          <w:rFonts w:ascii="Times New Roman" w:hAnsi="Times New Roman"/>
          <w:sz w:val="20"/>
          <w:u w:val="single"/>
        </w:rPr>
        <w:t>Equity Incentive Plan</w:t>
      </w:r>
      <w:r>
        <w:rPr>
          <w:rFonts w:ascii="Times New Roman" w:hAnsi="Times New Roman"/>
          <w:sz w:val="20"/>
        </w:rPr>
        <w:t xml:space="preserve">” means the Company’s Omnibus Incentive Plan adopted on the IPO Date (or any similar replacement plan subsequently approved by the Board and the stockholders as required by the DGCL or any applicable exchange listing requirements), as it may be amended or otherwise modified from time to time. </w:t>
      </w:r>
    </w:p>
    <w:p>
      <w:pPr>
        <w:pStyle w:val="TextBody"/>
        <w:bidi w:val="0"/>
        <w:spacing w:before="240" w:after="0"/>
        <w:jc w:val="left"/>
        <w:rPr/>
      </w:pPr>
      <w:r>
        <w:rPr/>
        <w:t>“</w:t>
      </w:r>
      <w:r>
        <w:rPr>
          <w:rFonts w:ascii="Times New Roman" w:hAnsi="Times New Roman"/>
          <w:sz w:val="20"/>
          <w:u w:val="single"/>
        </w:rPr>
        <w:t>Equity Securities</w:t>
      </w:r>
      <w:r>
        <w:rPr>
          <w:rFonts w:ascii="Times New Roman" w:hAnsi="Times New Roman"/>
          <w:sz w:val="20"/>
        </w:rPr>
        <w:t xml:space="preserve">” means, with respect to any Person, all of the shares, interests, rights, participations, preferred equity certificates, convertible preferred equity certificates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w:t>
      </w:r>
    </w:p>
    <w:p>
      <w:pPr>
        <w:pStyle w:val="TextBody"/>
        <w:bidi w:val="0"/>
        <w:spacing w:before="240" w:after="0"/>
        <w:jc w:val="left"/>
        <w:rPr/>
      </w:pPr>
      <w:r>
        <w:rPr/>
        <w:t>“</w:t>
      </w:r>
      <w:r>
        <w:rPr>
          <w:rFonts w:ascii="Times New Roman" w:hAnsi="Times New Roman"/>
          <w:sz w:val="20"/>
          <w:u w:val="single"/>
        </w:rPr>
        <w:t>Full Board</w:t>
      </w:r>
      <w:r>
        <w:rPr>
          <w:rFonts w:ascii="Times New Roman" w:hAnsi="Times New Roman"/>
          <w:sz w:val="20"/>
        </w:rPr>
        <w:t xml:space="preserve">” means the total number of Directors constituting the entire Board as determined in accordance with the Certificate of Incorporation and Bylaws.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the United States of America or any other nation, any state or other political subdivision thereof, or any entity exercising executive, legislative, judicial, regulatory or administrative functions of government, including any court, in each case, having jurisdiction over the Company or any of its Subsidiaries or any of the property or other assets of the Company or any of its Subsidiaries. </w:t>
      </w:r>
    </w:p>
    <w:p>
      <w:pPr>
        <w:pStyle w:val="TextBody"/>
        <w:bidi w:val="0"/>
        <w:spacing w:before="240" w:after="0"/>
        <w:jc w:val="left"/>
        <w:rPr/>
      </w:pPr>
      <w:r>
        <w:rPr/>
        <w:t>“</w:t>
      </w:r>
      <w:r>
        <w:rPr>
          <w:rFonts w:ascii="Times New Roman" w:hAnsi="Times New Roman"/>
          <w:sz w:val="20"/>
          <w:u w:val="single"/>
        </w:rPr>
        <w:t>Independent Director</w:t>
      </w:r>
      <w:r>
        <w:rPr>
          <w:rFonts w:ascii="Times New Roman" w:hAnsi="Times New Roman"/>
          <w:sz w:val="20"/>
        </w:rPr>
        <w:t xml:space="preserve">” has the meaning set forth in </w:t>
      </w:r>
      <w:r>
        <w:rPr>
          <w:rFonts w:ascii="Times New Roman" w:hAnsi="Times New Roman"/>
          <w:sz w:val="20"/>
          <w:u w:val="single"/>
        </w:rPr>
        <w:t>Section 1.02(a)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Investors</w:t>
      </w:r>
      <w:r>
        <w:rPr>
          <w:rFonts w:ascii="Times New Roman" w:hAnsi="Times New Roman"/>
          <w:sz w:val="20"/>
        </w:rPr>
        <w:t xml:space="preserve">” has the meaning set forth in the preamble.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IPO</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IPO Date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ITG Parent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Management Holdings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Necessary Action</w:t>
      </w:r>
      <w:r>
        <w:rPr>
          <w:rFonts w:ascii="Times New Roman" w:hAnsi="Times New Roman"/>
          <w:sz w:val="20"/>
        </w:rPr>
        <w:t xml:space="preserve">” shall mean, with respect to the Company and a specified result, all actions (to the extent such actions are not prohibited by applicable law and are within the Company’s control, and in the case of any action that requires a vote or other action on the part of the Board to the extent such action is consistent with fiduciary duties that the Company’s directors may have in such capacity) necessary to cause such result, including (i) calling meetings of stockholders, (ii) assisting in preparing or furnishing forms of ballots, proxies, consents or similar instruments, if applicable, in each case, with respect to shares of Voting Stock, and facilitating the collection or processing of such ballots, proxies, consents, or instruments, (iii) executing agreements, documents, certificates and other similar written instruments, (iv) making, or causing to be made, with any government, governmental department or agency, or political subdivision thereof, all filings, registrations, or similar actions that are required to achieve such result, (v)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Company, and (vi) paying any costs, expenses or fees arising out of or in connection with any of the foregoing. </w:t>
      </w:r>
    </w:p>
    <w:p>
      <w:pPr>
        <w:pStyle w:val="TextBody"/>
        <w:bidi w:val="0"/>
        <w:spacing w:before="240" w:after="0"/>
        <w:jc w:val="left"/>
        <w:rPr/>
      </w:pPr>
      <w:r>
        <w:rPr/>
        <w:t>“</w:t>
      </w:r>
      <w:r>
        <w:rPr>
          <w:rFonts w:ascii="Times New Roman" w:hAnsi="Times New Roman"/>
          <w:sz w:val="20"/>
          <w:u w:val="single"/>
        </w:rPr>
        <w:t>Nominating and Corporate Governance Committee</w:t>
      </w:r>
      <w:r>
        <w:rPr>
          <w:rFonts w:ascii="Times New Roman" w:hAnsi="Times New Roman"/>
          <w:sz w:val="20"/>
        </w:rPr>
        <w:t xml:space="preserve">” means the nominating and corporate governance committee of the Board or any committee of the Board authorized to perform the function of recommending to the Board the nominees for election as Directors or nominating the nominees for election as Directors. </w:t>
      </w:r>
    </w:p>
    <w:p>
      <w:pPr>
        <w:pStyle w:val="TextBody"/>
        <w:bidi w:val="0"/>
        <w:spacing w:before="240" w:after="0"/>
        <w:jc w:val="left"/>
        <w:rPr/>
      </w:pPr>
      <w:r>
        <w:rPr/>
        <w:t>“</w:t>
      </w:r>
      <w:r>
        <w:rPr>
          <w:rFonts w:ascii="Times New Roman" w:hAnsi="Times New Roman"/>
          <w:sz w:val="20"/>
          <w:u w:val="single"/>
        </w:rPr>
        <w:t>Oaktree</w:t>
      </w:r>
      <w:r>
        <w:rPr>
          <w:rFonts w:ascii="Times New Roman" w:hAnsi="Times New Roman"/>
          <w:sz w:val="20"/>
        </w:rPr>
        <w:t xml:space="preserve">” means Oaktree Capital Management L.P. and any successor thereto. </w:t>
      </w:r>
    </w:p>
    <w:p>
      <w:pPr>
        <w:pStyle w:val="TextBody"/>
        <w:bidi w:val="0"/>
        <w:spacing w:before="240" w:after="0"/>
        <w:jc w:val="left"/>
        <w:rPr/>
      </w:pPr>
      <w:r>
        <w:rPr/>
        <w:t>“</w:t>
      </w:r>
      <w:r>
        <w:rPr>
          <w:rFonts w:ascii="Times New Roman" w:hAnsi="Times New Roman"/>
          <w:sz w:val="20"/>
          <w:u w:val="single"/>
        </w:rPr>
        <w:t>Oaktree Aggregator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Oaktree Designee</w:t>
      </w:r>
      <w:r>
        <w:rPr>
          <w:rFonts w:ascii="Times New Roman" w:hAnsi="Times New Roman"/>
          <w:sz w:val="20"/>
        </w:rPr>
        <w:t xml:space="preserve">” has the meaning set forth in </w:t>
      </w:r>
      <w:r>
        <w:rPr>
          <w:rFonts w:ascii="Times New Roman" w:hAnsi="Times New Roman"/>
          <w:sz w:val="20"/>
          <w:u w:val="single"/>
        </w:rPr>
        <w:t>Section 1.02(b)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Oaktree Blocked Fund</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Oaktree Group</w:t>
      </w:r>
      <w:r>
        <w:rPr>
          <w:rFonts w:ascii="Times New Roman" w:hAnsi="Times New Roman"/>
          <w:sz w:val="20"/>
        </w:rPr>
        <w:t xml:space="preserve">” means Oaktree and its Affiliates, including the Investors and Management Holdings.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partnership (including a limited partnership), a corporation, a limited liability company, an exempted company, an association, a joint stock company, a trust, a joint venture, an unincorporated organization, association or other entity or a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Registration Rights Agreement</w:t>
      </w:r>
      <w:r>
        <w:rPr>
          <w:rFonts w:ascii="Times New Roman" w:hAnsi="Times New Roman"/>
          <w:sz w:val="20"/>
        </w:rPr>
        <w:t xml:space="preserve">” means the Registration Rights Agreement, dated as of the date hereof and as may be amended or otherwise modified from time to time, by and among the Company, the Investors and the other parties thereto from time to time. </w:t>
      </w:r>
    </w:p>
    <w:p>
      <w:pPr>
        <w:pStyle w:val="TextBody"/>
        <w:bidi w:val="0"/>
        <w:spacing w:before="240" w:after="0"/>
        <w:jc w:val="left"/>
        <w:rPr/>
      </w:pPr>
      <w:r>
        <w:rPr/>
        <w:t>“</w:t>
      </w:r>
      <w:r>
        <w:rPr>
          <w:rFonts w:ascii="Times New Roman" w:hAnsi="Times New Roman"/>
          <w:sz w:val="20"/>
          <w:u w:val="single"/>
        </w:rPr>
        <w:t>Restricted Shares</w:t>
      </w:r>
      <w:r>
        <w:rPr>
          <w:rFonts w:ascii="Times New Roman" w:hAnsi="Times New Roman"/>
          <w:sz w:val="20"/>
        </w:rPr>
        <w:t xml:space="preserve">” means shares of Common Stock awarded under the Equity Incentive Plan subject to time and performance vesting restrictions. </w:t>
      </w:r>
    </w:p>
    <w:p>
      <w:pPr>
        <w:pStyle w:val="TextBody"/>
        <w:bidi w:val="0"/>
        <w:spacing w:before="240" w:after="0"/>
        <w:jc w:val="left"/>
        <w:rPr/>
      </w:pPr>
      <w:r>
        <w:rPr/>
        <w:t>“</w:t>
      </w:r>
      <w:r>
        <w:rPr>
          <w:rFonts w:ascii="Times New Roman" w:hAnsi="Times New Roman"/>
          <w:sz w:val="20"/>
          <w:u w:val="single"/>
        </w:rPr>
        <w:t>Stockholders</w:t>
      </w:r>
      <w:r>
        <w:rPr>
          <w:rFonts w:ascii="Times New Roman" w:hAnsi="Times New Roman"/>
          <w:sz w:val="20"/>
        </w:rPr>
        <w:t xml:space="preserve">” means holders of Common Stock of the Company.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member, general partner or analogous controlling Person of such limited liability company, partnership, association or other business entity. Unless otherwise indicated, the term “</w:t>
      </w:r>
      <w:r>
        <w:rPr>
          <w:rFonts w:ascii="Times New Roman" w:hAnsi="Times New Roman"/>
          <w:sz w:val="20"/>
          <w:u w:val="single"/>
        </w:rPr>
        <w:t>Subsidiary</w:t>
      </w:r>
      <w:r>
        <w:rPr>
          <w:rFonts w:ascii="Times New Roman" w:hAnsi="Times New Roman"/>
          <w:sz w:val="20"/>
        </w:rPr>
        <w:t xml:space="preserve">” refers to a Subsidiary of the Company. </w:t>
      </w:r>
    </w:p>
    <w:p>
      <w:pPr>
        <w:pStyle w:val="TextBody"/>
        <w:bidi w:val="0"/>
        <w:spacing w:before="240" w:after="0"/>
        <w:jc w:val="left"/>
        <w:rPr/>
      </w:pPr>
      <w:r>
        <w:rPr/>
        <w:t>“</w:t>
      </w:r>
      <w:r>
        <w:rPr>
          <w:rFonts w:ascii="Times New Roman" w:hAnsi="Times New Roman"/>
          <w:sz w:val="20"/>
          <w:u w:val="single"/>
        </w:rPr>
        <w:t>Tax Receivable Agreement</w:t>
      </w:r>
      <w:r>
        <w:rPr>
          <w:rFonts w:ascii="Times New Roman" w:hAnsi="Times New Roman"/>
          <w:sz w:val="20"/>
        </w:rPr>
        <w:t xml:space="preserve">” means the Tax Receivable Agreement, dated as of the date hereof and as may be amended or otherwise modified from time to time, by and among the Company, the Investors and the other parties thereto. </w:t>
      </w:r>
    </w:p>
    <w:p>
      <w:pPr>
        <w:pStyle w:val="TextBody"/>
        <w:bidi w:val="0"/>
        <w:spacing w:before="240" w:after="0"/>
        <w:jc w:val="left"/>
        <w:rPr/>
      </w:pPr>
      <w:r>
        <w:rPr/>
        <w:t>“</w:t>
      </w:r>
      <w:r>
        <w:rPr>
          <w:rFonts w:ascii="Times New Roman" w:hAnsi="Times New Roman"/>
          <w:sz w:val="20"/>
          <w:u w:val="single"/>
        </w:rPr>
        <w:t>Trigger Event</w:t>
      </w:r>
      <w:r>
        <w:rPr>
          <w:rFonts w:ascii="Times New Roman" w:hAnsi="Times New Roman"/>
          <w:sz w:val="20"/>
        </w:rPr>
        <w:t xml:space="preserve">” means such time, if any, upon which the Oaktree Group ceases to Beneficially Own shares of Voting Stock representing, in the aggregate, at least 40% of the voting power of the then-outstanding Voting Stock of the Company that are not Restricted Shares. </w:t>
      </w:r>
    </w:p>
    <w:p>
      <w:pPr>
        <w:pStyle w:val="TextBody"/>
        <w:bidi w:val="0"/>
        <w:spacing w:before="240" w:after="0"/>
        <w:jc w:val="left"/>
        <w:rPr/>
      </w:pPr>
      <w:r>
        <w:rPr/>
        <w:t>“</w:t>
      </w:r>
      <w:r>
        <w:rPr>
          <w:rFonts w:ascii="Times New Roman" w:hAnsi="Times New Roman"/>
          <w:sz w:val="20"/>
          <w:u w:val="single"/>
        </w:rPr>
        <w:t>Voting Stock</w:t>
      </w:r>
      <w:r>
        <w:rPr>
          <w:rFonts w:ascii="Times New Roman" w:hAnsi="Times New Roman"/>
          <w:sz w:val="20"/>
        </w:rPr>
        <w:t xml:space="preserve">” means any Equity Securities of the Company entitled to vote generally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Composition of Initial Board. As of the IPO Date, the Board shall comprise nine (9) Directors, (i) the following six (6) of whom shall be deemed to have been designated by the Investors as Oaktree Designees (as defined below): Michael Brooks, Peter Giacalone, James Lee, Robert Wu, Nicholas Papadakis and Dylan Petre; (ii) one (1) of whom shall be the Company’s current chief executive officer, Andrew Parrott; and (iii) the following two (2) of whom shall be deemed “Independent Directors”: William LaPerch and Francis A. Braun III.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Nomination of Oaktree Designees</w:t>
      </w:r>
      <w:r>
        <w:rPr>
          <w:rFonts w:ascii="Times New Roman" w:hAnsi="Times New Roman"/>
          <w:sz w:val="20"/>
        </w:rPr>
        <w:t xml:space="preserve">. Notwithstanding anything herein to the contrary, following the IPO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Until the Trigger Event, the Investors, acting collectively, shall have the right, but not the obligation, to nominate to the Board six (6) Directors; </w:t>
      </w:r>
    </w:p>
    <w:p>
      <w:pPr>
        <w:pStyle w:val="TextBody"/>
        <w:bidi w:val="0"/>
        <w:spacing w:before="120" w:after="0"/>
        <w:jc w:val="left"/>
        <w:rPr>
          <w:rFonts w:ascii="Times New Roman" w:hAnsi="Times New Roman"/>
          <w:sz w:val="20"/>
        </w:rPr>
      </w:pPr>
      <w:r>
        <w:rPr>
          <w:rFonts w:ascii="Times New Roman" w:hAnsi="Times New Roman"/>
          <w:sz w:val="20"/>
        </w:rPr>
        <w:t xml:space="preserve">(ii) For so long as the Oaktree Group Beneficially Owns shares of Voting Stock representing, in the aggregate, at least: </w:t>
      </w:r>
    </w:p>
    <w:p>
      <w:pPr>
        <w:pStyle w:val="TextBody"/>
        <w:bidi w:val="0"/>
        <w:spacing w:before="120" w:after="0"/>
        <w:jc w:val="left"/>
        <w:rPr>
          <w:rFonts w:ascii="Times New Roman" w:hAnsi="Times New Roman"/>
          <w:sz w:val="20"/>
        </w:rPr>
      </w:pPr>
      <w:r>
        <w:rPr>
          <w:rFonts w:ascii="Times New Roman" w:hAnsi="Times New Roman"/>
          <w:sz w:val="20"/>
        </w:rPr>
        <w:t xml:space="preserve">(A) 35%, but less than 40%, of the voting power of the then-outstanding Voting Stock of the Company that are not Restricted Shares, the Investors, acting collectively, shall have the right, but not the obligation, to nominate to the Board five (5) Directors; </w:t>
      </w:r>
    </w:p>
    <w:p>
      <w:pPr>
        <w:pStyle w:val="TextBody"/>
        <w:bidi w:val="0"/>
        <w:spacing w:before="120" w:after="0"/>
        <w:jc w:val="left"/>
        <w:rPr>
          <w:rFonts w:ascii="Times New Roman" w:hAnsi="Times New Roman"/>
          <w:sz w:val="20"/>
        </w:rPr>
      </w:pPr>
      <w:r>
        <w:rPr>
          <w:rFonts w:ascii="Times New Roman" w:hAnsi="Times New Roman"/>
          <w:sz w:val="20"/>
        </w:rPr>
        <w:t xml:space="preserve">(B) 30%, but less than 35%, of the voting power of the then-outstanding Voting Stock of the Company that are not Restricted Shares, the Investors, acting collectively, shall have the right, but not the obligation, to nominate to the Board four (4) Directors; </w:t>
      </w:r>
    </w:p>
    <w:p>
      <w:pPr>
        <w:pStyle w:val="TextBody"/>
        <w:bidi w:val="0"/>
        <w:spacing w:before="120" w:after="0"/>
        <w:jc w:val="left"/>
        <w:rPr>
          <w:rFonts w:ascii="Times New Roman" w:hAnsi="Times New Roman"/>
          <w:sz w:val="20"/>
        </w:rPr>
      </w:pPr>
      <w:r>
        <w:rPr>
          <w:rFonts w:ascii="Times New Roman" w:hAnsi="Times New Roman"/>
          <w:sz w:val="20"/>
        </w:rPr>
        <w:t xml:space="preserve">(C) 20%, but less than 30%, of the voting power of the then-outstanding Voting Stock of the Company that are not Restricted Shares, the Investors, acting collectively, shall have the right, but not the obligation, to nominate to the Board three (3) Directors; </w:t>
      </w:r>
    </w:p>
    <w:p>
      <w:pPr>
        <w:pStyle w:val="TextBody"/>
        <w:bidi w:val="0"/>
        <w:spacing w:before="120" w:after="0"/>
        <w:jc w:val="left"/>
        <w:rPr>
          <w:rFonts w:ascii="Times New Roman" w:hAnsi="Times New Roman"/>
          <w:sz w:val="20"/>
        </w:rPr>
      </w:pPr>
      <w:r>
        <w:rPr>
          <w:rFonts w:ascii="Times New Roman" w:hAnsi="Times New Roman"/>
          <w:sz w:val="20"/>
        </w:rPr>
        <w:t xml:space="preserve">(D) 10%, but less than 20%, of the voting power of the then-outstanding Voting Stock of the Company that are not Restricted Shares, the Investors, acting collectively, shall have the right, but not the obligation, to nominate to the Board two (2) Directors; and </w:t>
      </w:r>
    </w:p>
    <w:p>
      <w:pPr>
        <w:pStyle w:val="TextBody"/>
        <w:bidi w:val="0"/>
        <w:spacing w:before="120" w:after="0"/>
        <w:jc w:val="left"/>
        <w:rPr>
          <w:rFonts w:ascii="Times New Roman" w:hAnsi="Times New Roman"/>
          <w:sz w:val="20"/>
        </w:rPr>
      </w:pPr>
      <w:r>
        <w:rPr>
          <w:rFonts w:ascii="Times New Roman" w:hAnsi="Times New Roman"/>
          <w:sz w:val="20"/>
        </w:rPr>
        <w:t xml:space="preserve">(E) 5%, but less than 10%, of the voting power of the then-outstanding Voting Stock of the Company that are not Restricted Shares, the Investors, acting collectively, shall have the right, but not the obligation, to nominate to the Board one (1) Director. </w:t>
      </w:r>
    </w:p>
    <w:p>
      <w:pPr>
        <w:pStyle w:val="TextBody"/>
        <w:bidi w:val="0"/>
        <w:spacing w:before="240" w:after="0"/>
        <w:jc w:val="left"/>
        <w:rPr>
          <w:rFonts w:ascii="Times New Roman" w:hAnsi="Times New Roman"/>
          <w:sz w:val="20"/>
        </w:rPr>
      </w:pPr>
      <w:r>
        <w:rPr>
          <w:rFonts w:ascii="Times New Roman" w:hAnsi="Times New Roman"/>
          <w:sz w:val="20"/>
        </w:rPr>
        <w:t xml:space="preserve">Any such Director(s) nominated pursuant to </w:t>
      </w:r>
      <w:r>
        <w:rPr>
          <w:rFonts w:ascii="Times New Roman" w:hAnsi="Times New Roman"/>
          <w:sz w:val="20"/>
          <w:u w:val="single"/>
        </w:rPr>
        <w:t>Section 1.02(b)(i)</w:t>
      </w:r>
      <w:r>
        <w:rPr>
          <w:rFonts w:ascii="Times New Roman" w:hAnsi="Times New Roman"/>
          <w:sz w:val="20"/>
        </w:rPr>
        <w:t xml:space="preserve"> or </w:t>
      </w:r>
      <w:r>
        <w:rPr>
          <w:rFonts w:ascii="Times New Roman" w:hAnsi="Times New Roman"/>
          <w:sz w:val="20"/>
          <w:u w:val="single"/>
        </w:rPr>
        <w:t>Section 1.02(b)(ii)</w:t>
      </w:r>
      <w:r>
        <w:rPr>
          <w:rFonts w:ascii="Times New Roman" w:hAnsi="Times New Roman"/>
          <w:sz w:val="20"/>
        </w:rPr>
        <w:t xml:space="preserve"> shall be the “</w:t>
      </w:r>
      <w:r>
        <w:rPr>
          <w:rFonts w:ascii="Times New Roman" w:hAnsi="Times New Roman"/>
          <w:sz w:val="20"/>
          <w:u w:val="single"/>
        </w:rPr>
        <w:t>Oaktree Designee</w:t>
      </w:r>
      <w:r>
        <w:rPr>
          <w:rFonts w:ascii="Times New Roman" w:hAnsi="Times New Roman"/>
          <w:sz w:val="20"/>
        </w:rPr>
        <w:t>” or “</w:t>
      </w:r>
      <w:r>
        <w:rPr>
          <w:rFonts w:ascii="Times New Roman" w:hAnsi="Times New Roman"/>
          <w:sz w:val="20"/>
          <w:u w:val="single"/>
        </w:rPr>
        <w:t>Oaktree Designees</w:t>
      </w:r>
      <w:r>
        <w:rPr>
          <w:rFonts w:ascii="Times New Roman" w:hAnsi="Times New Roman"/>
          <w:sz w:val="20"/>
        </w:rPr>
        <w:t xml:space="preserve">,” as applicable. In the event the size of the Full Board is increased, the Investors’ nomination rights set forth in </w:t>
      </w:r>
      <w:r>
        <w:rPr>
          <w:rFonts w:ascii="Times New Roman" w:hAnsi="Times New Roman"/>
          <w:sz w:val="20"/>
          <w:u w:val="single"/>
        </w:rPr>
        <w:t>Section 1.02(b)(i)</w:t>
      </w:r>
      <w:r>
        <w:rPr>
          <w:rFonts w:ascii="Times New Roman" w:hAnsi="Times New Roman"/>
          <w:sz w:val="20"/>
        </w:rPr>
        <w:t xml:space="preserve"> or </w:t>
      </w:r>
      <w:r>
        <w:rPr>
          <w:rFonts w:ascii="Times New Roman" w:hAnsi="Times New Roman"/>
          <w:sz w:val="20"/>
          <w:u w:val="single"/>
        </w:rPr>
        <w:t>Section 1.02(b)(ii)</w:t>
      </w:r>
      <w:r>
        <w:rPr>
          <w:rFonts w:ascii="Times New Roman" w:hAnsi="Times New Roman"/>
          <w:sz w:val="20"/>
        </w:rPr>
        <w:t xml:space="preserve"> shall be proportionately increased such that the Investors have the right to nominate Directors representing the same percentage of the Full Board, rounded up to the nearest whole director, following such increase as prior to such increase. </w:t>
      </w:r>
    </w:p>
    <w:p>
      <w:pPr>
        <w:pStyle w:val="TextBody"/>
        <w:bidi w:val="0"/>
        <w:spacing w:before="240" w:after="0"/>
        <w:jc w:val="left"/>
        <w:rPr>
          <w:rFonts w:ascii="Times New Roman" w:hAnsi="Times New Roman"/>
          <w:sz w:val="20"/>
        </w:rPr>
      </w:pPr>
      <w:r>
        <w:rPr>
          <w:rFonts w:ascii="Times New Roman" w:hAnsi="Times New Roman"/>
          <w:sz w:val="20"/>
        </w:rPr>
        <w:t xml:space="preserve">The Investors shall designate each Oaktree Designee for nomination by delivering to the Company (i) a written notice at least ninety (90) days prior to the one (1) year anniversary of the filing of the definitive proxy statement for the preceding annual meeting (or such shorter period as is agreed in writing by the Company) setting forth the individual to be nominated and such individual’s business address, telephone number and e-mail address and (ii) a signed D&amp;O questionnaire (based on a form to be provided by the Company) duly completed by such individual; </w:t>
      </w:r>
      <w:r>
        <w:rPr>
          <w:rFonts w:ascii="Times New Roman" w:hAnsi="Times New Roman"/>
          <w:sz w:val="20"/>
          <w:u w:val="single"/>
        </w:rPr>
        <w:t>provided</w:t>
      </w:r>
      <w:r>
        <w:rPr>
          <w:rFonts w:ascii="Times New Roman" w:hAnsi="Times New Roman"/>
          <w:sz w:val="20"/>
        </w:rPr>
        <w:t xml:space="preserve">, that if the Investors shall fail to deliver such written notice, the Investors shall be deemed to have designated the Oaktree Designee(s) whose term is expiring.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with respect to any person designated by the Investors pursuant to this </w:t>
      </w:r>
      <w:r>
        <w:rPr>
          <w:rFonts w:ascii="Times New Roman" w:hAnsi="Times New Roman"/>
          <w:sz w:val="20"/>
          <w:u w:val="single"/>
        </w:rPr>
        <w:t>Section 1.02(b)</w:t>
      </w:r>
      <w:r>
        <w:rPr>
          <w:rFonts w:ascii="Times New Roman" w:hAnsi="Times New Roman"/>
          <w:sz w:val="20"/>
        </w:rPr>
        <w:t xml:space="preserve">, the Investors shall only be required to comply with the provisions of this </w:t>
      </w:r>
      <w:r>
        <w:rPr>
          <w:rFonts w:ascii="Times New Roman" w:hAnsi="Times New Roman"/>
          <w:sz w:val="20"/>
          <w:u w:val="single"/>
        </w:rPr>
        <w:t>Section 1.02(b)</w:t>
      </w:r>
      <w:r>
        <w:rPr>
          <w:rFonts w:ascii="Times New Roman" w:hAnsi="Times New Roman"/>
          <w:sz w:val="20"/>
        </w:rPr>
        <w:t xml:space="preserve"> and the Investors shall not be required to comply with the advance notice provision of the Bylaws. Notwithstanding anything in this </w:t>
      </w:r>
      <w:r>
        <w:rPr>
          <w:rFonts w:ascii="Times New Roman" w:hAnsi="Times New Roman"/>
          <w:sz w:val="20"/>
          <w:u w:val="single"/>
        </w:rPr>
        <w:t>Section 1.02(b)</w:t>
      </w:r>
      <w:r>
        <w:rPr>
          <w:rFonts w:ascii="Times New Roman" w:hAnsi="Times New Roman"/>
          <w:sz w:val="20"/>
        </w:rPr>
        <w:t xml:space="preserve"> to the contrary, the Investors may also directly nominate individuals to serve on the Board pursuant to and in accordance with applicable law (including stock exchange regulations) and the advance notice provisions of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Company adopts a policy that directors own a minimum amount of equity securities in the Company, Oaktree Designees shall not be subject to such policy.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CEO Director</w:t>
      </w:r>
      <w:r>
        <w:rPr>
          <w:rFonts w:ascii="Times New Roman" w:hAnsi="Times New Roman"/>
          <w:sz w:val="20"/>
        </w:rPr>
        <w:t>. Notwithstanding anything herein to the contrary, following the IPO Date, the Company’s chief executive officer shall be a Director, which shall initially be Andrew Parrott. Any such Director shall be the “</w:t>
      </w:r>
      <w:r>
        <w:rPr>
          <w:rFonts w:ascii="Times New Roman" w:hAnsi="Times New Roman"/>
          <w:sz w:val="20"/>
          <w:u w:val="single"/>
        </w:rPr>
        <w:t>CEO Director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Resignation of Oaktree Designees</w:t>
      </w:r>
      <w:r>
        <w:rPr>
          <w:rFonts w:ascii="Times New Roman" w:hAnsi="Times New Roman"/>
          <w:sz w:val="20"/>
        </w:rPr>
        <w:t xml:space="preserve">. For so long as the Investors are entitled to designate at least one (1) individual for nomination to the Board, the Investors shall have the exclusive right to request the removal of any Oaktree Designee, with or without cause and at any time, by sending a written notice to such Oaktree Designee and the Company’s Secretary stating the name of the Oaktree Designee or the Oaktree Designees whose removal from the Board is requested. Such Oaktree Designee or Oaktree Designees shall immediately tender their resignation upon such request or the Company shall thereafter take all Necessary Action to facilitate the removal of such Oaktree Designee from the Board. If at any point the number of Oaktree Designees then serving on the Board exceeds the number of Directors which the Investors are entitled to nominate pursuant to </w:t>
      </w:r>
      <w:r>
        <w:rPr>
          <w:rFonts w:ascii="Times New Roman" w:hAnsi="Times New Roman"/>
          <w:sz w:val="20"/>
          <w:u w:val="single"/>
        </w:rPr>
        <w:t>Section 1.02(b)</w:t>
      </w:r>
      <w:r>
        <w:rPr>
          <w:rFonts w:ascii="Times New Roman" w:hAnsi="Times New Roman"/>
          <w:sz w:val="20"/>
        </w:rPr>
        <w:t xml:space="preserve"> (each, an “</w:t>
      </w:r>
      <w:r>
        <w:rPr>
          <w:rFonts w:ascii="Times New Roman" w:hAnsi="Times New Roman"/>
          <w:sz w:val="20"/>
          <w:u w:val="single"/>
        </w:rPr>
        <w:t>Excess Director</w:t>
      </w:r>
      <w:r>
        <w:rPr>
          <w:rFonts w:ascii="Times New Roman" w:hAnsi="Times New Roman"/>
          <w:sz w:val="20"/>
        </w:rPr>
        <w:t xml:space="preserve">”), then, unless the Board otherwise requests, the Investors shall cause the Excess Director to offer to tender their resignation at least sixty (60) days prior to the expected date of the Company’s next annual meeting of stockholders for which the Company has not yet proposed a slate of directors; </w:t>
      </w:r>
      <w:r>
        <w:rPr>
          <w:rFonts w:ascii="Times New Roman" w:hAnsi="Times New Roman"/>
          <w:sz w:val="20"/>
          <w:u w:val="single"/>
        </w:rPr>
        <w:t>provided</w:t>
      </w:r>
      <w:r>
        <w:rPr>
          <w:rFonts w:ascii="Times New Roman" w:hAnsi="Times New Roman"/>
          <w:sz w:val="20"/>
        </w:rPr>
        <w:t xml:space="preserve">, that, for the avoidance of doubt, such resignation may be made effective as of the last day of the then-current term of such Excess Director.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Vacancies of Directors</w:t>
      </w:r>
      <w:r>
        <w:rPr>
          <w:rFonts w:ascii="Times New Roman" w:hAnsi="Times New Roman"/>
          <w:sz w:val="20"/>
        </w:rPr>
        <w:t xml:space="preserve">. In the event that a vacancy is created at any time by the death, disability, removal or resignation of any Director designated pursuant to Section 1.02(b) or Section 1.02(c), subject to their fiduciary duties under applicable law, the remaining Directors shall cause the vacancy created thereby to be filled, (1) in the case of a vacancy created by an Oaktree Designee, by a new designee of the Investors, (2) in the case of a vacancy created by the CEO Director due to the death, disability, removal or resignation of the chief executive officer of the Company, by the replacement chief executive officer of the Company, and (3) in the case of a vacancy created by an Independent Director, by a person identified by the Board (with the assistance of the Nominating and Corporate Governance Committee) and nominated by the Nominating and Corporate Governance Committee, and the Company agrees to take, at any time and from time to time, all Necessary Action to cause any vacancies to be filled pursuant to this </w:t>
      </w:r>
      <w:r>
        <w:rPr>
          <w:rFonts w:ascii="Times New Roman" w:hAnsi="Times New Roman"/>
          <w:sz w:val="20"/>
          <w:u w:val="single"/>
        </w:rPr>
        <w:t>Section 1.02(e)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the foregoing, in the absence of any designation from the Investors holding the right to designate a Director as specified above, the Director previously designated by them and then serving shall be reelected if still eligible and willing to serve as provided herein and otherwise, such Board seat shall remain vacant.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Committees</w:t>
      </w:r>
      <w:r>
        <w:rPr>
          <w:rFonts w:ascii="Times New Roman" w:hAnsi="Times New Roman"/>
          <w:sz w:val="20"/>
        </w:rPr>
        <w:t xml:space="preserve">. Subject to applicable law, the Board may delegate any of its power and authority to manage the business and affairs of the Company to any standing or special committee upon such terms as it sees fit as permitted by law and as set forth in the resolutions creating such committee. As of the IPO Date, (i) the initial members of the Compensation Committee shall be William LaPerch, who shall be chairperson of such committee, James Lee and Robert Wu; (ii) the initial members of the Nominating and Corporate Governance Committee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James Lee, who shall be chairperson of such committee, Robert Wu and Dylan Petre; and (iii) the initial members of the Audit Committee shall be Francis Braun III, who shall be the chairperson of such committee, William LaPerch and Nicholas Papadakis. Subject to applicable laws and stock exchange regulations, and subject to requisite independence requirements applicable to such committee, (A) prior to the Trigger Event, the Investors shall be entitled to designate a majority of the members of the Compensation Committee and the Nominating and Corporate Governance Committee, and (B) for so long as the Investors are entitled to designate one (1) or more Directors pursuant to </w:t>
      </w:r>
      <w:r>
        <w:rPr>
          <w:rFonts w:ascii="Times New Roman" w:hAnsi="Times New Roman"/>
          <w:sz w:val="20"/>
          <w:u w:val="single"/>
        </w:rPr>
        <w:t>Section 1.02(b)</w:t>
      </w:r>
      <w:r>
        <w:rPr>
          <w:rFonts w:ascii="Times New Roman" w:hAnsi="Times New Roman"/>
          <w:sz w:val="20"/>
        </w:rPr>
        <w:t xml:space="preserve">, the Investors shall be entitled to designate at least one (1) member of each committee of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special committee established to evaluate any transaction in which the Oaktree Group has an interest which is in conflict with the interests of the Company shall not include any Oaktree Designee. It is understood by the parties hereto that the Investors shall not be required to have the Oaktree Designees represented on any committee and any failure to exercise such right in this section in a prior period shall not constitute any waiver of such right in a subsequent period. Each committee shall keep regular minutes and report to the Board when required.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Reimbursement of Expenses</w:t>
      </w:r>
      <w:r>
        <w:rPr>
          <w:rFonts w:ascii="Times New Roman" w:hAnsi="Times New Roman"/>
          <w:sz w:val="20"/>
        </w:rPr>
        <w:t xml:space="preserve">. Any Director who is not an employee of the Company or any of its Subsidiaries shall be entitled to cash and/or equity compensation and is eligible to participate in Company equity plans and indemnification in connection with his or her role as a director, and each Oaktree Designee shall be entitled to reimbursement for documented, reasonable out-of-pocket expenses incurred in attending meetings of the Board, or any committees thereof and meetings of the Stockholders of the Company (if attending in their capacity as a Director at the request of the Board). Any Oaktree Designee may assign the rights set forth in this Section 1.02(g) to any member of the Oaktree Group at the option of such Oaktree Designee.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Liability for Election of Recommended Directors.</w:t>
      </w:r>
      <w:r>
        <w:rPr>
          <w:rFonts w:ascii="Times New Roman" w:hAnsi="Times New Roman"/>
          <w:sz w:val="20"/>
        </w:rPr>
        <w:t xml:space="preserve"> None of the Company or any of the Oaktree Group, nor any officer, director, stockholder, partner, employee or agent of any such party, makes any representation or warranty as to the fitness or competence of the nominee of any party hereunder to serve on the Board by virtue of such party’s execution of this Agreement or by the act of such party in voting for such nominee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Additional Company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agrees to take all Necessary Action to cause the individuals designated in accordance with </w:t>
      </w:r>
      <w:r>
        <w:rPr>
          <w:rFonts w:ascii="Times New Roman" w:hAnsi="Times New Roman"/>
          <w:sz w:val="20"/>
          <w:u w:val="single"/>
        </w:rPr>
        <w:t>Section 1.02(b)</w:t>
      </w:r>
      <w:r>
        <w:rPr>
          <w:rFonts w:ascii="Times New Roman" w:hAnsi="Times New Roman"/>
          <w:sz w:val="20"/>
        </w:rPr>
        <w:t xml:space="preserve"> and </w:t>
      </w:r>
      <w:r>
        <w:rPr>
          <w:rFonts w:ascii="Times New Roman" w:hAnsi="Times New Roman"/>
          <w:sz w:val="20"/>
          <w:u w:val="single"/>
        </w:rPr>
        <w:t>Section 1.02(c)</w:t>
      </w:r>
      <w:r>
        <w:rPr>
          <w:rFonts w:ascii="Times New Roman" w:hAnsi="Times New Roman"/>
          <w:sz w:val="20"/>
        </w:rPr>
        <w:t xml:space="preserve"> to be elected as 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take all Necessary Action (A) to maintain in effect at all times customary directors and officers liability insurance and fiduciary liability insurance with benefits, terms, conditions, retentions and levels of coverage that are at least as favorable, in the aggregate, to the insured parties as provided in the Company’s policies in effect as of the IPO Date; provided that, upon any Oaktree Designee ceasing to serve on the Board for any reason, the Company shall take all actions reasonably necessary to extend such directors’ and officers’ liability insurance coverage (or purchase a “tail” or “runoff” policy) for a period of not less than six (6) years from the time at which such Oaktree Designee ceases to serve on the Board, in respect of any act or omission occurring at or prior to such cessation of service, on terms and conditions no less favorable than those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policy in effect at the time of such cessation, and (B) to ensure the Certificate of Incorporation and the Bylaws shall at all times provide for indemnification, exculpation and advancement of expenses with respect to all Directors (including, for the avoidance of doubt, the Oaktree Designees) to the fullest extent permitted under applicable law. The Company shall not alter, in any manner adverse to the Oaktree Designees, any rights to indemnification and exculpation from liabilities currently afforded to members of the Board, provided they are permitted by applicable law, pursuant to the Certificate of Incorporation, the Bylaws or any indemnification agreement, in each case, as in effect as of the IPO Date. If the Company or any of its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the Company shall covenant to afford to each of the Oaktree Designees such rights to indemnification and exculpation from liabilities.</w:t>
      </w:r>
    </w:p>
    <w:p>
      <w:pPr>
        <w:pStyle w:val="TextBody"/>
        <w:bidi w:val="0"/>
        <w:spacing w:before="120" w:after="0"/>
        <w:jc w:val="left"/>
        <w:rPr>
          <w:rFonts w:ascii="Times New Roman" w:hAnsi="Times New Roman"/>
          <w:sz w:val="20"/>
        </w:rPr>
      </w:pPr>
      <w:r>
        <w:rPr>
          <w:rFonts w:ascii="Times New Roman" w:hAnsi="Times New Roman"/>
          <w:sz w:val="20"/>
        </w:rPr>
        <w:t xml:space="preserve">(iii) At any time the Board is classified in accordance with the terms of the Certificate of Incorporation, including at the IPO Date, the Oaktree Designees shall be apportioned among the three classes of Directors as nearly equal in number as possible, and any remaining Oaktree Designees will be designated a Class III Director, in each case unless otherwise requested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(iv) As of the IPO Date, the Company is a “controlled company.” For so long as the Company qualifies as a “controlled company” under the applicable listing standards then in effect, the Company will elect to be a “controlled company” for purposes of such applicable listing standards and will disclose in its annual meeting proxy statement that it is a “controlled company” and the basis for that determination.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Voting at Meetings of Stockholders</w:t>
      </w:r>
      <w:r>
        <w:rPr>
          <w:rFonts w:ascii="Times New Roman" w:hAnsi="Times New Roman"/>
          <w:sz w:val="20"/>
        </w:rPr>
        <w:t xml:space="preserve">. Each of the Investors and Management Holdings, so long as such party holds Equity Securities of the Company, agrees to vote, and to procure the vote of its Affiliates, to vote in person or by proxy, or to act by written consent (if applicable) with respect to all Voting Stock Beneficially Owned by it to cause the election of the Persons designated pursuant to this Section 1.02.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Information Rights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So long as the Oaktree Group Beneficially Owns shares of Voting Stock representing, in the aggregate, at least five percent (5%) of the voting power of the then-outstanding Voting Stock, the Company shall provide to the Investors and any of their designated representatives: (1) monthly consolidated financial statements of the Company and its Subsidiaries, consisting of (i) an income statement, (ii) a balance sheet, and (iii) a statement of cash flows, in each case prepared in good faith and in reasonable detail, within thirty (30) days after the end of each month; (2) access to any portal or equivalent means of dissemination of information to the Board maintained by the Company; and (3) reasonable access, during normal business hours, with reasonable prior notice and so long as such access does not unreasonably interfere with the operations of the Company or its Subsidiaries, to examine the books and records of the Company and its Subsidiaries and to any officer of the Company or its Subsidiaries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discuss the affairs, finances and condition of the Company and its Subsidiaries; </w:t>
      </w:r>
      <w:r>
        <w:rPr>
          <w:rFonts w:ascii="Times New Roman" w:hAnsi="Times New Roman"/>
          <w:sz w:val="20"/>
          <w:u w:val="single"/>
        </w:rPr>
        <w:t>provided</w:t>
      </w:r>
      <w:r>
        <w:rPr>
          <w:rFonts w:ascii="Times New Roman" w:hAnsi="Times New Roman"/>
          <w:sz w:val="20"/>
        </w:rPr>
        <w:t xml:space="preserve">, each Investor may waive the right to receive all or any portion of the foregoing information and access at any time at the election of such Investor by providing written notice to the Company, which notice may specify a time period for the duration of such waiver (and, for the avoidance of doubt, following such specified time period, the applicable rights set forth in this </w:t>
      </w:r>
      <w:r>
        <w:rPr>
          <w:rFonts w:ascii="Times New Roman" w:hAnsi="Times New Roman"/>
          <w:sz w:val="20"/>
          <w:u w:val="single"/>
        </w:rPr>
        <w:t>Section 1.03(a)</w:t>
      </w:r>
      <w:r>
        <w:rPr>
          <w:rFonts w:ascii="Times New Roman" w:hAnsi="Times New Roman"/>
          <w:sz w:val="20"/>
        </w:rPr>
        <w:t xml:space="preserve"> shall no longer be deemed waived). </w:t>
      </w:r>
    </w:p>
    <w:p>
      <w:pPr>
        <w:pStyle w:val="TextBody"/>
        <w:bidi w:val="0"/>
        <w:spacing w:before="240" w:after="0"/>
        <w:jc w:val="left"/>
        <w:rPr>
          <w:rFonts w:ascii="Times New Roman" w:hAnsi="Times New Roman"/>
          <w:sz w:val="20"/>
        </w:rPr>
      </w:pPr>
      <w:r>
        <w:rPr>
          <w:rFonts w:ascii="Times New Roman" w:hAnsi="Times New Roman"/>
          <w:sz w:val="20"/>
        </w:rPr>
        <w:t xml:space="preserve">(b) So long as the Oaktree Group Beneficially Owns shares of Voting Stock representing, in the aggregate, at least five percent (5%) of the voting power of the then-outstanding Voting Stock, the Company shall keep each Oaktree Designee serving as a Director informed, on a current basis, of any events, discussions, notices or changes with respect to any tax, criminal or regulatory investigation or action involving the Company or any of its Subsidiaries that could reasonably be expected to be material to the Company, and shall reasonably cooperate with the Investors and their respective Affiliates in an effort to avoid or mitigate any cost or regulatory consequences to the Investors or their Affiliates that might arise from such investigation or action (including by reviewing written submissions in advance, attending meetings with authorities and coordinating and providing assistance in meeting with regulators). </w:t>
      </w:r>
    </w:p>
    <w:p>
      <w:pPr>
        <w:pStyle w:val="TextBody"/>
        <w:bidi w:val="0"/>
        <w:spacing w:before="240" w:after="0"/>
        <w:jc w:val="left"/>
        <w:rPr>
          <w:rFonts w:ascii="Times New Roman" w:hAnsi="Times New Roman"/>
          <w:sz w:val="20"/>
        </w:rPr>
      </w:pPr>
      <w:r>
        <w:rPr>
          <w:rFonts w:ascii="Times New Roman" w:hAnsi="Times New Roman"/>
          <w:sz w:val="20"/>
        </w:rPr>
        <w:t xml:space="preserve">(c) For so long as any Investor or any other member of the Oaktree Group needs access to information from the Company for purposes of complying with their respective income tax reporting obligations, the Company shall promptly provide, or cause to be provided, all reasonably requested information and supporting documentation to such Investor or such member of the Oaktree Group (or their respective tax advisors or counsel) to allow such Investor or such member of the Oaktree Group to timely file their respective income tax returns.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the Investors and Management Holdings shall reasonably coordinate and cooperate with one another with respect to (i) exchanging and providing such information to each other in connection with any regulatory notifications, filings or other obligations of each party or any of their respective Affiliates, (ii) making any applicable regulatory notifications and filings of each party or any of their respective Affiliates and (iii) taking such other action to comply with any applicable regulatory obligations of each party or any of their respective Affiliates; provided that such material may be redacted or provided on an outside-counsel-only basis, as necessary, (x) to comply with contractual arrangements, (y) to address good faith legal privilege or confidentiality concerns and (z) to comply with applicable law. In addition, each party shall supply such reasonable assistance as may be reasonably requested by any other party in connection with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Consent Rights</w:t>
      </w:r>
      <w:r>
        <w:rPr>
          <w:rFonts w:ascii="Times New Roman" w:hAnsi="Times New Roman"/>
          <w:sz w:val="20"/>
        </w:rPr>
        <w:t xml:space="preserve">. So long as the Oaktree Group Beneficially Owns shares of Voting Stock representing, in the aggregate, twenty five percent (25%) or more of the voting power of the then-outstanding Voting Stock, without the prior written consent of the Investors (which consent may be withheld or granted in their discretion) the Company shall not, and shall cause its Subsidiaries not to, amend, modify, repeal or waive (a) any rights of any Investor or any other member of the Oaktree Group provided by, or increase any obligations of any Investor or any other member of the Oaktree Group imposed by, the Bylaws or the Certificate of Incorporation, or (b) the Company’s related party transactions policy, the charter of the disclosure committee (or any successor committee performing a similar function), if any, or any similar policy applicable to the Oaktree Group in its capacity as a Beneficial Owner of shares of Voting Stock in a manner that disproportionately adversely affects the Investors or any other member of the Oaktree Group; provided that each Investor may waive the requirement that it consent to all or any of the foregoing actions at any time at the election of such Investor by providing written notice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Investor and Management Holdings agrees to hold, and to use its reasonable efforts to cause its authorized representatives to hold, in strict confidence, the books and records of the Company and all information relating to the Company’s properties, operations, financial condition or affairs, in each case, which are furnished to it pursuant to the terms of this Agreement, including to a Director appointed in accordance with this Agreement (collectively, the “</w:t>
      </w:r>
      <w:r>
        <w:rPr>
          <w:rFonts w:ascii="Times New Roman" w:hAnsi="Times New Roman"/>
          <w:sz w:val="20"/>
          <w:u w:val="single"/>
        </w:rPr>
        <w:t>Confidential Information</w:t>
      </w:r>
      <w:r>
        <w:rPr>
          <w:rFonts w:ascii="Times New Roman" w:hAnsi="Times New Roman"/>
          <w:sz w:val="20"/>
        </w:rPr>
        <w:t>”). Notwithstanding anything herein to the contrary, Confidential Information shall not include any information that (i) is or becomes generally available to the public other than as a result of an unauthorized disclosure by an Investor, (ii) is or becomes available to an Investor or Management Holdings or any of their respective Authorized Recipients (as defined below) on a nonconfidential basis from a third-party source, which source, to the knowledge of such Investor or Management Holdings, as applicable, is not bound by a legal duty of confidentiality to the Company in respect of such Confidential Information, or (iii) is independently developed by an Investor or Management Holdings or its Authorized Recipients. Notwithstanding anything herein to the contrary, an Investor or Management Holdings may disclose any Confidential Information to (x) any of its representatives and (y) any Affiliates (the persons in clauses (x) and (y), collectively, the “</w:t>
      </w:r>
      <w:r>
        <w:rPr>
          <w:rFonts w:ascii="Times New Roman" w:hAnsi="Times New Roman"/>
          <w:sz w:val="20"/>
          <w:u w:val="single"/>
        </w:rPr>
        <w:t>Authorized Recipients</w:t>
      </w:r>
      <w:r>
        <w:rPr>
          <w:rFonts w:ascii="Times New Roman" w:hAnsi="Times New Roman"/>
          <w:sz w:val="20"/>
        </w:rPr>
        <w:t xml:space="preserve">”). If an Investor, Management Holdings or any of their respective Authorized Recipients is required or requested by law or regulation or any legal or judicial process to disclose any Confidential Information, if disclosure of Confidential Information is required by any Governmental Entity having authority over such Investor, Management Holdings or such Authorized Recipient, or if disclosure of Confidential Information is required in connection with the tax affairs of such Investor, Management Holdings or such Authorized Recipient, such Investor, Management Holdings or such Authorized Recipient, as the case may be, may disclose only such portion of such Confidential Information as may be required or requested without liability hereunder. </w:t>
      </w:r>
    </w:p>
    <w:p>
      <w:pPr>
        <w:pStyle w:val="TextBody"/>
        <w:bidi w:val="0"/>
        <w:spacing w:before="240" w:after="0"/>
        <w:jc w:val="left"/>
        <w:rPr>
          <w:rFonts w:ascii="Times New Roman" w:hAnsi="Times New Roman"/>
          <w:sz w:val="20"/>
        </w:rPr>
      </w:pPr>
      <w:r>
        <w:rPr>
          <w:rFonts w:ascii="Times New Roman" w:hAnsi="Times New Roman"/>
          <w:sz w:val="20"/>
        </w:rPr>
        <w:t xml:space="preserve">(b) For the avoidance of doubt, any Oaktree Designee may disclose any information about the Company and its Subsidiaries received by such Oaktree Designee (whether or not in his/her capacity as a Director of the Company) to the other Oaktree Designees and to the Investors; provided that any such information disclosed that would otherwise constitute Confidential Information shall be treated by the Investors in accordance with </w:t>
      </w:r>
      <w:r>
        <w:rPr>
          <w:rFonts w:ascii="Times New Roman" w:hAnsi="Times New Roman"/>
          <w:sz w:val="20"/>
          <w:u w:val="single"/>
        </w:rPr>
        <w:t>Section 1.05(a)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Representations and Warranties</w:t>
      </w:r>
      <w:r>
        <w:rPr>
          <w:rFonts w:ascii="Times New Roman" w:hAnsi="Times New Roman"/>
          <w:sz w:val="20"/>
        </w:rPr>
        <w:t xml:space="preserve">. The Company represents and warrants to each Investor and Management Holdings that (i) the Company is duly authorized to execute, deliver and perform this Agreement; (ii) this Agreement has been duly authorized, executed and delivered by the Company and is a valid and binding agreement of the Company, enforceable against the Company in accordance with its terms; and (iii) the execution, delivery and performance by the Company of this Agreement does not violate or conflict with or result in a breach by the Company of or constitute (or with notice or lapse of time or both constitute) a default by the Company under the Certificate of Incorporation or Bylaws, any existing applicable law, rule, regulation, judgment, order, or decree of any governmental authority exercising any statutory or regulatory authority of any of the foregoing, domestic or foreign, having jurisdiction over the Company or any of its Subsidiaries or any of their respective properties or assets, or any agreement or instrument to which the Company or any of its Subsidiaries is a party or by which the Company or any of its Subsidiaries or any of their respective properties or assets may be bound.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All notices, demands or other communications to be given or delivered under or by reason of the provisions of this Agreement shall be in writing and shall be deemed to have been given or made when (i) delivered personally to the recipient, (ii) one (1) Business Day after being sent to the recipient by reputable overnight courier service (charges prepaid) or (iii) transmitted, if sent by email transmission before 5:00 p.m. New York time on a Business Day, and otherwise on the next Business Day. Such notices, demands and other communications shall be sent to the Company and the Investors at the addresses indicated below or, in each case, to any such other address or to the attention of such other person as the recipient party has specified by prior written notice to the sending party. </w:t>
      </w:r>
    </w:p>
    <w:p>
      <w:pPr>
        <w:pStyle w:val="TextBody"/>
        <w:bidi w:val="0"/>
        <w:spacing w:before="240" w:after="0"/>
        <w:jc w:val="left"/>
        <w:rPr>
          <w:rFonts w:ascii="Times New Roman" w:hAnsi="Times New Roman"/>
          <w:sz w:val="20"/>
        </w:rPr>
      </w:pPr>
      <w:r>
        <w:rPr>
          <w:rFonts w:ascii="Times New Roman" w:hAnsi="Times New Roman"/>
          <w:sz w:val="20"/>
        </w:rPr>
        <w:t xml:space="preserve">If to the Investors,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c/o Oaktree Capital Management, L.P. </w:t>
      </w:r>
    </w:p>
    <w:p>
      <w:pPr>
        <w:pStyle w:val="TextBody"/>
        <w:bidi w:val="0"/>
        <w:spacing w:before="0" w:after="0"/>
        <w:jc w:val="left"/>
        <w:rPr>
          <w:rFonts w:ascii="Times New Roman" w:hAnsi="Times New Roman"/>
          <w:sz w:val="20"/>
        </w:rPr>
      </w:pPr>
      <w:r>
        <w:rPr>
          <w:rFonts w:ascii="Times New Roman" w:hAnsi="Times New Roman"/>
          <w:sz w:val="20"/>
        </w:rPr>
        <w:t xml:space="preserve">11611 San Vicente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90049 </w:t>
      </w:r>
    </w:p>
    <w:p>
      <w:pPr>
        <w:pStyle w:val="TextBody"/>
        <w:bidi w:val="0"/>
        <w:spacing w:before="0" w:after="0"/>
        <w:jc w:val="left"/>
        <w:rPr>
          <w:rFonts w:ascii="Times New Roman" w:hAnsi="Times New Roman"/>
          <w:sz w:val="20"/>
        </w:rPr>
      </w:pPr>
      <w:r>
        <w:rPr>
          <w:rFonts w:ascii="Times New Roman" w:hAnsi="Times New Roman"/>
          <w:sz w:val="20"/>
        </w:rPr>
        <w:t xml:space="preserve">Attention:  James Lee; Robert Wu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copy shall not constitute notice to the Investors) to: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1999 Avenue of the Stars, Suite 1800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 Tana Ryan; Alice Yuan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2400 E. Commercial Boulevard, Suite 1800 </w:t>
      </w:r>
    </w:p>
    <w:p>
      <w:pPr>
        <w:pStyle w:val="TextBody"/>
        <w:bidi w:val="0"/>
        <w:spacing w:before="0" w:after="0"/>
        <w:jc w:val="left"/>
        <w:rPr>
          <w:rFonts w:ascii="Times New Roman" w:hAnsi="Times New Roman"/>
          <w:sz w:val="20"/>
        </w:rPr>
      </w:pPr>
      <w:r>
        <w:rPr>
          <w:rFonts w:ascii="Times New Roman" w:hAnsi="Times New Roman"/>
          <w:sz w:val="20"/>
        </w:rPr>
        <w:t xml:space="preserve">Fort Lauderdale, Florida 33308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Parrott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 Joshua N. Korff; Michael Kim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Applicable Laws and Other Requirements</w:t>
      </w:r>
      <w:r>
        <w:rPr>
          <w:rFonts w:ascii="Times New Roman" w:hAnsi="Times New Roman"/>
          <w:sz w:val="20"/>
        </w:rPr>
        <w:t xml:space="preserve">. Nothing in this Agreement shall be construed to require the Investors, the Company or their respective directors, partners or fiduciaries to take, or fail to take, any action in violation of the laws, stock exchange listing requirements or fiduciary or other legal duties applicable to, in each case, the Investors, the Company and their respective directors, partners or fiduciaries. Further, nothing in this Agreement shall be construed to modify, limit or supersede any Investor’s rights as a Stockholder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Aggregation of Shares</w:t>
      </w:r>
      <w:r>
        <w:rPr>
          <w:rFonts w:ascii="Times New Roman" w:hAnsi="Times New Roman"/>
          <w:sz w:val="20"/>
        </w:rPr>
        <w:t xml:space="preserve">. For the avoidance of doubt, for purposes of determining whether any party meets any threshold contained herein which is based on having Beneficial Ownership of shares of the Voting Stock, such determinations or provisions shall be deemed to include all shares of Voting Stock of which any member of the Oaktree Group has Beneficial Ownership, provided such member of the Oaktree Group is a party to this Agreement or becomes party to this Agreement pursuant to </w:t>
      </w:r>
      <w:r>
        <w:rPr>
          <w:rFonts w:ascii="Times New Roman" w:hAnsi="Times New Roman"/>
          <w:sz w:val="20"/>
          <w:u w:val="single"/>
        </w:rPr>
        <w:t>Section 1.07(h)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 and Sections</w:t>
      </w:r>
      <w:r>
        <w:rPr>
          <w:rFonts w:ascii="Times New Roman" w:hAnsi="Times New Roman"/>
          <w:sz w:val="20"/>
        </w:rPr>
        <w:t xml:space="preserve">.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words “including” or “include” in this Agreement shall be by way of example rather than by limitation. Reference to any agreement, document or instrument means such agreement, document or instrument as amended or otherwise modified from time to time in accordance with the terms thereof, and if applicable hereof. The use of the words “or,” “either” and “any” shall not be exclusive.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w:t>
      </w:r>
      <w:r>
        <w:rPr>
          <w:rFonts w:ascii="Times New Roman" w:hAnsi="Times New Roman"/>
          <w:sz w:val="20"/>
        </w:rPr>
        <w:t xml:space="preserve">. This Agreement may be amended, supplemented or otherwise modified only by a written instrument executed by the Company and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Waiver</w:t>
      </w:r>
      <w:r>
        <w:rPr>
          <w:rFonts w:ascii="Times New Roman" w:hAnsi="Times New Roman"/>
          <w:sz w:val="20"/>
        </w:rPr>
        <w:t xml:space="preser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Any waiver by the Company or any Investor of any covenant, duty, agreement or condition of this Agreement or to exercise any right or remedy consequent upon a breach thereof shall only be effective if executed in writing by the party making such waiver. The waiver by any party hereto of a breach of any provision of this Agreement will not operate or be construed as a waiver of any subsequent breach.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Successors and Assigns</w:t>
      </w:r>
      <w:r>
        <w:rPr>
          <w:rFonts w:ascii="Times New Roman" w:hAnsi="Times New Roman"/>
          <w:sz w:val="20"/>
        </w:rPr>
        <w:t xml:space="preserve">. All covenants and agreements contained in this Agreement shall be binding upon and shall inure to the benefit of the parties hereto and their respective successors and assigns; provided, that no Person claiming by, through or under a party (whether as such party’s successor in interest or otherwise), as distinct from such party itself, shall have any rights as, or in respect to, a party to this Agreement (including the right to approve or vote on any matter or to notice thereof). Notwithstanding anything herein to the contrary, each of the Investors may, in the sole discretion of such Investor, assign any rights granted to such Investor under this Agreement to any transferee thereof in connection with any transfer of Common Stock or Common Units to such transferee. In the event an Investor elects any such assignment, such Investor shall provide written notice of such assignment to the Company and shall cause the applicable transferee to become a party to this Agreement by executing a joinder to this Agreement in substantially the form attached hereto as Exhibit A.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Counterparts</w:t>
      </w:r>
      <w:r>
        <w:rPr>
          <w:rFonts w:ascii="Times New Roman" w:hAnsi="Times New Roman"/>
          <w:sz w:val="20"/>
        </w:rPr>
        <w:t xml:space="preserve">. This Agreement may be executed simultaneously in two or more separate counterparts, any one of which need not contain the signatures of more than one party, but each of which shall be an original and all of which together shall constitute one and the same agreement binding on all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Each party hereto shall have all rights and remedies set forth in this Agreement and all rights and remedies which such Person has been granted at any time under any other agreement or contract and all of the rights which such Person has under any applicable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 It is agreed and understood that monetary damages would not adequately compensate an injured party for the breach of this Agreement by any party, that this Agreement shall be specifically enforceable, and that any breach or threatened breach of this Agreement shall be the proper subject of a temporary or permanent injunction or restraining order. Further, each party hereto waives any claim or defense that there is an adequate remedy at law for such breach or threatened breach.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Governing Law; Venue and Forum</w:t>
      </w:r>
      <w:r>
        <w:rPr>
          <w:rFonts w:ascii="Times New Roman" w:hAnsi="Times New Roman"/>
          <w:sz w:val="20"/>
        </w:rPr>
        <w:t xml:space="preserve">.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Each of the parties hereto irrevocably and unconditionally submits to the exclusive jurisdiction of the Court of Chancery of the State of Delaware, or, if the Court of Chancery of the State of Delaware declines to accept jurisdiction over a particular matter, any federal court within the State of Delaware, or, if both the Court of Chancery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State of Delaware and the federal courts within the State of Delaware decline to accept jurisdiction over a particular matter, any other state court within the State of Delaware, and, in each case, any appellate court therefrom (together, the “Chosen Courts”), for the purposes of any Action arising out of this Agreement (and agrees that no such Action relating to this Agreement shall be brought by it or any of its Subsidiaries except in such courts). Each of the parties further agrees that, to the fullest extent permitted by applicable law, service of any process, summons, notice or document by U.S. registered mail to such person’s respective address set forth in Section 1.07(a) shall be effective service of process for any Action in the State of Delaware with respect to any matters to which it has submitted to jurisdiction as set forth above in the immediately preceding sentence. Each of the parties hereto irrevocably and unconditionally waives (and agrees not to plead or claim), any objection to the laying of venue of any Action arising out of this Agreement or any of the other transactions contemplated by this Agreement in the Chosen Courts, or that any such Action,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Mutual Waiver of Jury Trial</w:t>
      </w:r>
      <w:r>
        <w:rPr>
          <w:rFonts w:ascii="Times New Roman" w:hAnsi="Times New Roman"/>
          <w:sz w:val="20"/>
        </w:rPr>
        <w:t xml:space="preserve">. As a specifically bargained inducement for each of the parties to enter into this Agreement (with each party having had opportunity to consult counsel), each party hereto expressly and irrevocably waives the right to trial by jury in any lawsuit or legal proceeding relating to or arising in any way from this Agreement or the transactions contemplated herein, and any lawsuit or legal proceeding relating to or arising in any way to this Agreement or the transactions contemplated herein shall be tried in a court of competent jurisdiction by a judge sitting without a jury.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Strict Construction</w:t>
      </w:r>
      <w:r>
        <w:rPr>
          <w:rFonts w:ascii="Times New Roman" w:hAnsi="Times New Roman"/>
          <w:sz w:val="20"/>
        </w:rPr>
        <w:t xml:space="preser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Entire Agreement</w:t>
      </w:r>
      <w:r>
        <w:rPr>
          <w:rFonts w:ascii="Times New Roman" w:hAnsi="Times New Roman"/>
          <w:sz w:val="20"/>
        </w:rPr>
        <w:t xml:space="preserve">. This Agreement sets forth the entire understanding of the parties with respect to the subject matter hereof. There are no other agreements, representations, warranties, covenants or undertakings with respect to the subject matter hereof other than those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Delivery by Email</w:t>
      </w:r>
      <w:r>
        <w:rPr>
          <w:rFonts w:ascii="Times New Roman" w:hAnsi="Times New Roman"/>
          <w:sz w:val="20"/>
        </w:rPr>
        <w:t xml:space="preserve">. This Agreement, the agreements referred to herein, and each other agreement or instrument entered into in connection herewith or therewith or contemplated hereby or thereby, and any amendments hereto or thereto, to the extent signed and delivered by means of facsimile, PDF, or electronic signature,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facsimile, PDF, or electronic signature to deliver a signature or the fact that any signature or agreement or instrument was transmitted or communicated through the use of email as a defense to the formation or enforceability of a contract, and each such party forever waives any such defense.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Further Action</w:t>
      </w:r>
      <w:r>
        <w:rPr>
          <w:rFonts w:ascii="Times New Roman" w:hAnsi="Times New Roman"/>
          <w:sz w:val="20"/>
        </w:rPr>
        <w:t xml:space="preserve">. The parties agree to execute and deliver all documents, provide all information and take or refrain from taking such actions as may be necessary or appropriate to achieve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Termination</w:t>
      </w:r>
      <w:r>
        <w:rPr>
          <w:rFonts w:ascii="Times New Roman" w:hAnsi="Times New Roman"/>
          <w:sz w:val="20"/>
        </w:rPr>
        <w:t xml:space="preserve">. This Agreement shall terminate as it relates to Management Holdings and each Investor, or any transferee thereof joined to this Agreement in accordance with Section 1.07(h), at such time as Management Holdings or such Investor, or any transferee thereof, respectively, ceases to own any Equity Securities of the Company, except that such termination shall not affect (i) rights perfected or obligations incurred by such Investor or transferee, respectively, under this Agreement prior to such termination, and (ii) rights or obligations expressly stated to survive such cessation of ownership of Equity Securities of the Company, provided that any rights of the Investors and Management Holdings under the Registration Rights Agreement, the LLC Agreement or the Tax Receivable Agreement shall survive in accordance with the terms of the Registration Rights Agreement, the LLC Agreement and the Tax Receivable Agreement, respectively; and provided, further that any indemnification rights of the Investors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Adjustments Upon Change of Capitalization</w:t>
      </w:r>
      <w:r>
        <w:rPr>
          <w:rFonts w:ascii="Times New Roman" w:hAnsi="Times New Roman"/>
          <w:sz w:val="20"/>
        </w:rPr>
        <w:t xml:space="preserve">. In the event of any change in the outstanding Equity Securities of the Company, by reason of dividends, splits, reverse splits, spin-offs, split-ups, recapitalizations, combinations, exchanges of shares and the like, the term “Voting Stock” shall refer to and include the Equity Securities received or resulting therefrom, but only to the extent such Equity Securities are received in exchange for or in respect of Voting Stock, and all ownership thresholds set forth in this Agreement shall be equitably adjusted to reflect such change.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Effectiveness</w:t>
      </w:r>
      <w:r>
        <w:rPr>
          <w:rFonts w:ascii="Times New Roman" w:hAnsi="Times New Roman"/>
          <w:sz w:val="20"/>
        </w:rPr>
        <w:t xml:space="preserve">. This Agreement shall become effective upon the Closing on the IPO Date; provided, that this Agreement shall be of no force and effect (i) prior to the Closing and (ii) if the IPO has not been consummated within ten (10) Business Days from the date of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on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Company:</w:t>
            </w:r>
          </w:p>
        </w:tc>
      </w:tr>
      <w:tr>
        <w:trPr/>
        <w:tc>
          <w:tcPr>
            <w:tcW w:w="4082" w:type="dxa"/>
            <w:gridSpan w:val="3"/>
            <w:tcBorders/>
          </w:tcPr>
          <w:p>
            <w:pPr>
              <w:pStyle w:val="TableContents"/>
              <w:bidi w:val="0"/>
              <w:spacing w:before="0" w:after="283"/>
              <w:jc w:val="left"/>
              <w:rPr>
                <w:b/>
              </w:rPr>
            </w:pPr>
            <w:r>
              <w:rPr>
                <w:b/>
              </w:rPr>
              <w:t>ITG,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Andrew Parrott</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Andrew Parrott</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 xml:space="preserve">Investors: </w:t>
            </w:r>
          </w:p>
        </w:tc>
      </w:tr>
      <w:tr>
        <w:trPr/>
        <w:tc>
          <w:tcPr>
            <w:tcW w:w="4082" w:type="dxa"/>
            <w:gridSpan w:val="3"/>
            <w:tcBorders/>
          </w:tcPr>
          <w:p>
            <w:pPr>
              <w:pStyle w:val="TableContents"/>
              <w:bidi w:val="0"/>
              <w:spacing w:before="0" w:after="283"/>
              <w:jc w:val="left"/>
              <w:rPr>
                <w:b/>
              </w:rPr>
            </w:pPr>
            <w:r>
              <w:rPr>
                <w:b/>
              </w:rPr>
              <w:t>OCM POWER VI AIV HOLDINGS (DELAWARE), L.P.</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Oaktree Fund GP, LLC</w:t>
            </w:r>
          </w:p>
        </w:tc>
      </w:tr>
      <w:tr>
        <w:trPr/>
        <w:tc>
          <w:tcPr>
            <w:tcW w:w="66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Oaktree Fund GP I, L.P.</w:t>
            </w:r>
          </w:p>
        </w:tc>
      </w:tr>
      <w:tr>
        <w:trPr/>
        <w:tc>
          <w:tcPr>
            <w:tcW w:w="66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Managing Member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James Lee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James Lee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Robert Wu</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Robert Wu</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Senior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ITG AGGREGATOR, LLC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7" w:type="dxa"/>
            <w:tcBorders>
              <w:bottom w:val="single" w:sz="2" w:space="0" w:color="000000"/>
            </w:tcBorders>
            <w:tcMar>
              <w:bottom w:w="28" w:type="dxa"/>
            </w:tcMar>
          </w:tcPr>
          <w:p>
            <w:pPr>
              <w:pStyle w:val="TableContents"/>
              <w:bidi w:val="0"/>
              <w:spacing w:before="0" w:after="283"/>
              <w:jc w:val="left"/>
              <w:rPr/>
            </w:pPr>
            <w:r>
              <w:rPr/>
              <w:t>/s/ James Lee</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James Lee</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Management Holdings:</w:t>
            </w:r>
          </w:p>
        </w:tc>
      </w:tr>
      <w:tr>
        <w:trPr/>
        <w:tc>
          <w:tcPr>
            <w:tcW w:w="4082" w:type="dxa"/>
            <w:gridSpan w:val="3"/>
            <w:tcBorders/>
          </w:tcPr>
          <w:p>
            <w:pPr>
              <w:pStyle w:val="TableContents"/>
              <w:bidi w:val="0"/>
              <w:spacing w:before="0" w:after="283"/>
              <w:jc w:val="left"/>
              <w:rPr>
                <w:b/>
              </w:rPr>
            </w:pPr>
            <w:r>
              <w:rPr>
                <w:b/>
              </w:rPr>
              <w:t>ITG MANAGEMENT HOLDINGS, LLC</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ITG MH Manager, LLC</w:t>
            </w:r>
          </w:p>
        </w:tc>
      </w:tr>
      <w:tr>
        <w:trPr/>
        <w:tc>
          <w:tcPr>
            <w:tcW w:w="68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Manager</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James Lee</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James Lee</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Stockholders Agreement of ITG, Inc.]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JOINDER AGREEMENT </w:t>
      </w:r>
    </w:p>
    <w:p>
      <w:pPr>
        <w:pStyle w:val="TextBody"/>
        <w:bidi w:val="0"/>
        <w:spacing w:before="240" w:after="0"/>
        <w:jc w:val="left"/>
        <w:rPr>
          <w:rFonts w:ascii="Times New Roman" w:hAnsi="Times New Roman"/>
          <w:sz w:val="20"/>
        </w:rPr>
      </w:pPr>
      <w:r>
        <w:rPr>
          <w:rFonts w:ascii="Times New Roman" w:hAnsi="Times New Roman"/>
          <w:sz w:val="20"/>
        </w:rPr>
        <w:t>This JOINDER AGREEMENT, dated as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(this </w:t>
      </w:r>
      <w:r>
        <w:rPr>
          <w:rFonts w:ascii="Times New Roman" w:hAnsi="Times New Roman"/>
          <w:sz w:val="20"/>
          <w:u w:val="single"/>
        </w:rPr>
        <w:t>“Joinder</w:t>
      </w:r>
      <w:r>
        <w:rPr>
          <w:rFonts w:ascii="Times New Roman" w:hAnsi="Times New Roman"/>
          <w:sz w:val="20"/>
        </w:rPr>
        <w:t>”), is delivered pursuant to that certain Stockholders Agreement, dated as of [], 2026 (as amended, restated, amended and restated, supplemented or otherwise modified from time to time, the “</w:t>
      </w:r>
      <w:r>
        <w:rPr>
          <w:rFonts w:ascii="Times New Roman" w:hAnsi="Times New Roman"/>
          <w:sz w:val="20"/>
          <w:u w:val="single"/>
        </w:rPr>
        <w:t>Stockholders</w:t>
      </w:r>
      <w:r>
        <w:rPr>
          <w:rFonts w:ascii="Times New Roman" w:hAnsi="Times New Roman"/>
          <w:sz w:val="20"/>
        </w:rPr>
        <w:t xml:space="preserve"> </w:t>
      </w:r>
      <w:r>
        <w:rPr>
          <w:rFonts w:ascii="Times New Roman" w:hAnsi="Times New Roman"/>
          <w:sz w:val="20"/>
          <w:u w:val="single"/>
        </w:rPr>
        <w:t>Agreement</w:t>
      </w:r>
      <w:r>
        <w:rPr>
          <w:rFonts w:ascii="Times New Roman" w:hAnsi="Times New Roman"/>
          <w:sz w:val="20"/>
        </w:rPr>
        <w:t>”) of ITG, Inc., a Delaware corporation (the “</w:t>
      </w:r>
      <w:r>
        <w:rPr>
          <w:rFonts w:ascii="Times New Roman" w:hAnsi="Times New Roman"/>
          <w:sz w:val="20"/>
          <w:u w:val="single"/>
        </w:rPr>
        <w:t>Company</w:t>
      </w:r>
      <w:r>
        <w:rPr>
          <w:rFonts w:ascii="Times New Roman" w:hAnsi="Times New Roman"/>
          <w:sz w:val="20"/>
        </w:rPr>
        <w:t xml:space="preserve">”), by and among the Company and the parties signatory thereto. Capitalized terms used but not otherwise defined herein have the respective meanings set forth in the Stockholders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Joinder to the Stockholders Agreement</w:t>
            </w:r>
            <w:r>
              <w:rPr>
                <w:rFonts w:ascii="Times New Roman" w:hAnsi="Times New Roman"/>
                <w:sz w:val="20"/>
              </w:rPr>
              <w:t xml:space="preserve">. Upon the execution of this Joinder by the undersigned and delivery hereof to the Company, the undersigned hereby becomes a party to the Stockholders Agreement, with all the rights, privileges and responsibilities of [the Investors // Management Holdings] thereunder. The undersigned hereby agrees that it shall comply with and be fully bound by the terms of the Stockholders Agreement as if it had been a signatory thereto as of the date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Incorporation by Reference</w:t>
            </w:r>
            <w:r>
              <w:rPr>
                <w:rFonts w:ascii="Times New Roman" w:hAnsi="Times New Roman"/>
                <w:sz w:val="20"/>
              </w:rPr>
              <w:t xml:space="preserve">. All terms and conditions of the Stockholders Agreement are hereby incorporated by reference in this Joinder as if set forth herein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Address</w:t>
            </w:r>
            <w:r>
              <w:rPr>
                <w:rFonts w:ascii="Times New Roman" w:hAnsi="Times New Roman"/>
                <w:sz w:val="20"/>
              </w:rPr>
              <w:t xml:space="preserve">. All notices under the Stockholders Agreement to the undersigned shall be directed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[City, State, Zip </w:t>
      </w:r>
    </w:p>
    <w:p>
      <w:pPr>
        <w:pStyle w:val="TextBody"/>
        <w:bidi w:val="0"/>
        <w:spacing w:before="0" w:after="0"/>
        <w:jc w:val="left"/>
        <w:rPr>
          <w:rFonts w:ascii="Times New Roman" w:hAnsi="Times New Roman"/>
          <w:sz w:val="20"/>
        </w:rPr>
      </w:pPr>
      <w:r>
        <w:rPr>
          <w:rFonts w:ascii="Times New Roman" w:hAnsi="Times New Roman"/>
          <w:sz w:val="20"/>
        </w:rPr>
        <w:t xml:space="preserve">Code] Attn: </w:t>
      </w:r>
    </w:p>
    <w:p>
      <w:pPr>
        <w:pStyle w:val="TextBody"/>
        <w:bidi w:val="0"/>
        <w:spacing w:before="0" w:after="0"/>
        <w:jc w:val="left"/>
        <w:rPr>
          <w:rFonts w:ascii="Times New Roman" w:hAnsi="Times New Roman"/>
          <w:sz w:val="20"/>
        </w:rPr>
      </w:pPr>
      <w:r>
        <w:rPr>
          <w:rFonts w:ascii="Times New Roman" w:hAnsi="Times New Roman"/>
          <w:sz w:val="20"/>
        </w:rPr>
        <w:t xml:space="preserve">Facsimile: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IN WITNESS WHEREOF, the undersigned has duly executed and delivered this Joinder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28"/>
        <w:gridCol w:w="75"/>
        <w:gridCol w:w="3179"/>
      </w:tblGrid>
      <w:tr>
        <w:trPr/>
        <w:tc>
          <w:tcPr>
            <w:tcW w:w="82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 OF PARTY]</w:t>
            </w:r>
          </w:p>
        </w:tc>
      </w:tr>
      <w:tr>
        <w:trPr>
          <w:trHeight w:val="240" w:hRule="atLeast"/>
        </w:trPr>
        <w:tc>
          <w:tcPr>
            <w:tcW w:w="828" w:type="dxa"/>
            <w:tcBorders/>
            <w:vAlign w:val="center"/>
          </w:tcPr>
          <w:p>
            <w:pPr>
              <w:pStyle w:val="TableContents"/>
              <w:bidi w:val="0"/>
              <w:spacing w:before="0" w:after="283"/>
              <w:jc w:val="left"/>
              <w:rPr>
                <w:sz w:val="4"/>
                <w:szCs w:val="4"/>
              </w:rPr>
            </w:pPr>
            <w:r>
              <w:rPr>
                <w:sz w:val="4"/>
                <w:szCs w:val="4"/>
              </w:rPr>
            </w:r>
          </w:p>
        </w:tc>
        <w:tc>
          <w:tcPr>
            <w:tcW w:w="3254"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179" w:type="dxa"/>
            <w:tcBorders>
              <w:bottom w:val="single" w:sz="2" w:space="0" w:color="000000"/>
            </w:tcBorders>
            <w:tcMar>
              <w:bottom w:w="28" w:type="dxa"/>
            </w:tcMar>
          </w:tcPr>
          <w:p>
            <w:pPr>
              <w:pStyle w:val="TableContents"/>
              <w:bidi w:val="0"/>
              <w:spacing w:before="0" w:after="283"/>
              <w:jc w:val="left"/>
              <w:rPr/>
            </w:pPr>
            <w:r>
              <w:rPr/>
              <w:t> </w:t>
            </w:r>
          </w:p>
        </w:tc>
      </w:tr>
      <w:tr>
        <w:trPr/>
        <w:tc>
          <w:tcPr>
            <w:tcW w:w="828" w:type="dxa"/>
            <w:tcBorders/>
          </w:tcPr>
          <w:p>
            <w:pPr>
              <w:pStyle w:val="TableContents"/>
              <w:bidi w:val="0"/>
              <w:spacing w:before="0" w:after="283"/>
              <w:jc w:val="left"/>
              <w:rPr/>
            </w:pPr>
            <w:r>
              <w:rPr/>
              <w:t>Name:</w:t>
            </w:r>
          </w:p>
        </w:tc>
        <w:tc>
          <w:tcPr>
            <w:tcW w:w="75"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Title:</w:t>
            </w:r>
          </w:p>
        </w:tc>
        <w:tc>
          <w:tcPr>
            <w:tcW w:w="75"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816"/>
        <w:gridCol w:w="148"/>
        <w:gridCol w:w="1503"/>
        <w:gridCol w:w="148"/>
        <w:gridCol w:w="1467"/>
      </w:tblGrid>
      <w:tr>
        <w:trPr/>
        <w:tc>
          <w:tcPr>
            <w:tcW w:w="81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Acknowledged and agreed</w:t>
            </w:r>
          </w:p>
          <w:p>
            <w:pPr>
              <w:pStyle w:val="TableContents"/>
              <w:bidi w:val="0"/>
              <w:spacing w:before="0" w:after="0"/>
              <w:jc w:val="left"/>
              <w:rPr>
                <w:rFonts w:ascii="Times New Roman" w:hAnsi="Times New Roman"/>
                <w:sz w:val="20"/>
              </w:rPr>
            </w:pPr>
            <w:r>
              <w:rPr>
                <w:rFonts w:ascii="Times New Roman" w:hAnsi="Times New Roman"/>
                <w:sz w:val="20"/>
              </w:rPr>
              <w:t>as of the date first set forth above:</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ITG, INC.</w:t>
            </w:r>
          </w:p>
        </w:tc>
      </w:tr>
      <w:tr>
        <w:trPr>
          <w:trHeight w:val="240" w:hRule="atLeast"/>
        </w:trPr>
        <w:tc>
          <w:tcPr>
            <w:tcW w:w="816" w:type="dxa"/>
            <w:tcBorders/>
            <w:vAlign w:val="center"/>
          </w:tcPr>
          <w:p>
            <w:pPr>
              <w:pStyle w:val="TableContents"/>
              <w:bidi w:val="0"/>
              <w:spacing w:before="0" w:after="283"/>
              <w:jc w:val="left"/>
              <w:rPr>
                <w:sz w:val="4"/>
                <w:szCs w:val="4"/>
              </w:rPr>
            </w:pPr>
            <w:r>
              <w:rPr>
                <w:sz w:val="4"/>
                <w:szCs w:val="4"/>
              </w:rPr>
            </w:r>
          </w:p>
        </w:tc>
        <w:tc>
          <w:tcPr>
            <w:tcW w:w="1651" w:type="dxa"/>
            <w:gridSpan w:val="2"/>
            <w:tcBorders/>
            <w:vAlign w:val="center"/>
          </w:tcPr>
          <w:p>
            <w:pPr>
              <w:pStyle w:val="TableContents"/>
              <w:bidi w:val="0"/>
              <w:spacing w:before="0" w:after="283"/>
              <w:jc w:val="left"/>
              <w:rPr>
                <w:sz w:val="4"/>
                <w:szCs w:val="4"/>
              </w:rPr>
            </w:pPr>
            <w:r>
              <w:rPr>
                <w:sz w:val="4"/>
                <w:szCs w:val="4"/>
              </w:rPr>
            </w:r>
          </w:p>
        </w:tc>
        <w:tc>
          <w:tcPr>
            <w:tcW w:w="1615" w:type="dxa"/>
            <w:gridSpan w:val="2"/>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left"/>
              <w:rPr/>
            </w:pPr>
            <w:r>
              <w:rPr/>
              <w:t>By:</w:t>
            </w:r>
          </w:p>
        </w:tc>
        <w:tc>
          <w:tcPr>
            <w:tcW w:w="148" w:type="dxa"/>
            <w:tcBorders>
              <w:bottom w:val="single" w:sz="2" w:space="0" w:color="000000"/>
            </w:tcBorders>
            <w:tcMar>
              <w:bottom w:w="28" w:type="dxa"/>
            </w:tcMar>
            <w:vAlign w:val="bottom"/>
          </w:tcPr>
          <w:p>
            <w:pPr>
              <w:pStyle w:val="TableContents"/>
              <w:bidi w:val="0"/>
              <w:spacing w:before="0" w:after="283"/>
              <w:jc w:val="left"/>
              <w:rPr/>
            </w:pPr>
            <w:r>
              <w:rPr/>
              <w:t> </w:t>
            </w:r>
          </w:p>
        </w:tc>
        <w:tc>
          <w:tcPr>
            <w:tcW w:w="1503" w:type="dxa"/>
            <w:tcBorders>
              <w:bottom w:val="single" w:sz="2" w:space="0" w:color="000000"/>
            </w:tcBorders>
            <w:tcMar>
              <w:bottom w:w="28" w:type="dxa"/>
            </w:tcMa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sz w:val="4"/>
                <w:szCs w:val="4"/>
              </w:rPr>
            </w:pPr>
            <w:r>
              <w:rPr>
                <w:sz w:val="4"/>
                <w:szCs w:val="4"/>
              </w:rPr>
            </w:r>
          </w:p>
        </w:tc>
      </w:tr>
      <w:tr>
        <w:trPr/>
        <w:tc>
          <w:tcPr>
            <w:tcW w:w="2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148"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11" w:name="d88011dex42.htm"/>
      <w:bookmarkStart w:id="12" w:name="ksd88011dex42"/>
      <w:bookmarkEnd w:id="11"/>
      <w:bookmarkEnd w:id="12"/>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ITG, Inc.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as of July 2, 2026 among ITG, Inc., a Delaware corporation (the “</w:t>
      </w:r>
      <w:r>
        <w:rPr>
          <w:rFonts w:ascii="Times New Roman" w:hAnsi="Times New Roman"/>
          <w:sz w:val="20"/>
          <w:u w:val="single"/>
        </w:rPr>
        <w:t>Company</w:t>
      </w:r>
      <w:r>
        <w:rPr>
          <w:rFonts w:ascii="Times New Roman" w:hAnsi="Times New Roman"/>
          <w:sz w:val="20"/>
        </w:rPr>
        <w:t>”), each of the investors listed on the signature pages hereto under the caption “Sponsor Investors” (collectively, the “</w:t>
      </w:r>
      <w:r>
        <w:rPr>
          <w:rFonts w:ascii="Times New Roman" w:hAnsi="Times New Roman"/>
          <w:sz w:val="20"/>
          <w:u w:val="single"/>
        </w:rPr>
        <w:t>Sponsor Investors</w:t>
      </w:r>
      <w:r>
        <w:rPr>
          <w:rFonts w:ascii="Times New Roman" w:hAnsi="Times New Roman"/>
          <w:sz w:val="20"/>
        </w:rPr>
        <w:t>”), each Person listed on the signature pages under the caption “Other Investors” or who executes a Joinder as an “Other Investor” (collectively, the “</w:t>
      </w:r>
      <w:r>
        <w:rPr>
          <w:rFonts w:ascii="Times New Roman" w:hAnsi="Times New Roman"/>
          <w:sz w:val="20"/>
          <w:u w:val="single"/>
        </w:rPr>
        <w:t>Other Investors</w:t>
      </w:r>
      <w:r>
        <w:rPr>
          <w:rFonts w:ascii="Times New Roman" w:hAnsi="Times New Roman"/>
          <w:sz w:val="20"/>
        </w:rPr>
        <w:t>”) and each of the executives listed on the signature pages under the caption “Executives” or who executes a Joinder as an “Executive” (collectively, the “</w:t>
      </w:r>
      <w:r>
        <w:rPr>
          <w:rFonts w:ascii="Times New Roman" w:hAnsi="Times New Roman"/>
          <w:sz w:val="20"/>
          <w:u w:val="single"/>
        </w:rPr>
        <w:t>Executives</w:t>
      </w:r>
      <w:r>
        <w:rPr>
          <w:rFonts w:ascii="Times New Roman" w:hAnsi="Times New Roman"/>
          <w:sz w:val="20"/>
        </w:rPr>
        <w:t xml:space="preserve">”). Except as otherwise specified herein, all capitalized terms used in this Agreement are defined in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covenants contained herein and other good and valuable consideration, the receipt and sufficiency of which are hereby acknowledged, the parties to this Agreement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Demand Registrations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Requests for Registration</w:t>
      </w:r>
      <w:r>
        <w:rPr>
          <w:rFonts w:ascii="Times New Roman" w:hAnsi="Times New Roman"/>
          <w:sz w:val="20"/>
        </w:rPr>
        <w:t>. At any time and from time to time, the Sponsor Investors may request registration under the Securities Act of all or any portion of their Registrable Securities on Form S-1 or any similar long-form registration statement (“</w:t>
      </w:r>
      <w:r>
        <w:rPr>
          <w:rFonts w:ascii="Times New Roman" w:hAnsi="Times New Roman"/>
          <w:sz w:val="20"/>
          <w:u w:val="single"/>
        </w:rPr>
        <w:t>Long-Form Registrations</w:t>
      </w:r>
      <w:r>
        <w:rPr>
          <w:rFonts w:ascii="Times New Roman" w:hAnsi="Times New Roman"/>
          <w:sz w:val="20"/>
        </w:rPr>
        <w:t>”) or on Form S-3 or any similar short-form registration statement (“</w:t>
      </w:r>
      <w:r>
        <w:rPr>
          <w:rFonts w:ascii="Times New Roman" w:hAnsi="Times New Roman"/>
          <w:sz w:val="20"/>
          <w:u w:val="single"/>
        </w:rPr>
        <w:t>Short-Form Registrations</w:t>
      </w:r>
      <w:r>
        <w:rPr>
          <w:rFonts w:ascii="Times New Roman" w:hAnsi="Times New Roman"/>
          <w:sz w:val="20"/>
        </w:rPr>
        <w:t>”), if available (any such requested registration, a “</w:t>
      </w:r>
      <w:r>
        <w:rPr>
          <w:rFonts w:ascii="Times New Roman" w:hAnsi="Times New Roman"/>
          <w:sz w:val="20"/>
          <w:u w:val="single"/>
        </w:rPr>
        <w:t>Demand Registration</w:t>
      </w:r>
      <w:r>
        <w:rPr>
          <w:rFonts w:ascii="Times New Roman" w:hAnsi="Times New Roman"/>
          <w:sz w:val="20"/>
        </w:rPr>
        <w:t>”). The Sponsor Investors may request that any Demand Registration be made pursuant to Rule 415 under the Securities Act (a “</w:t>
      </w:r>
      <w:r>
        <w:rPr>
          <w:rFonts w:ascii="Times New Roman" w:hAnsi="Times New Roman"/>
          <w:sz w:val="20"/>
          <w:u w:val="single"/>
        </w:rPr>
        <w:t>Shelf Registration</w:t>
      </w:r>
      <w:r>
        <w:rPr>
          <w:rFonts w:ascii="Times New Roman" w:hAnsi="Times New Roman"/>
          <w:sz w:val="20"/>
        </w:rPr>
        <w:t>”) and (if the Company is a WKSI at the time any such request is submitted to the Company or will become one by the time of the filing of such Shelf Registration) that such Shelf Registration be an automatic shelf registration statement (as defined in Rule 405 under the Securities Act) (an “</w:t>
      </w:r>
      <w:r>
        <w:rPr>
          <w:rFonts w:ascii="Times New Roman" w:hAnsi="Times New Roman"/>
          <w:sz w:val="20"/>
          <w:u w:val="single"/>
        </w:rPr>
        <w:t>Automatic Shelf Registration Statement</w:t>
      </w:r>
      <w:r>
        <w:rPr>
          <w:rFonts w:ascii="Times New Roman" w:hAnsi="Times New Roman"/>
          <w:sz w:val="20"/>
        </w:rPr>
        <w:t xml:space="preserve">”). Each request for a Demand Registration must specify the approximate number or dollar value of Registrable Securities requested to be registered by the requesting Holders and (if known) the intended method of distribution. The Sponsor Investors will be entitled to request an unlimited number of Demand Registrations. The Company will pay all Expenses, whether or not any such registration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to Other Holders</w:t>
      </w:r>
      <w:r>
        <w:rPr>
          <w:rFonts w:ascii="Times New Roman" w:hAnsi="Times New Roman"/>
          <w:sz w:val="20"/>
        </w:rPr>
        <w:t xml:space="preserve">. Within four (4) Business Days after receipt of any such request, the Company will give written notice of the Demand Registration to all other Holders and, subject to the terms of </w:t>
      </w:r>
      <w:r>
        <w:rPr>
          <w:rFonts w:ascii="Times New Roman" w:hAnsi="Times New Roman"/>
          <w:sz w:val="20"/>
          <w:u w:val="single"/>
        </w:rPr>
        <w:t>Section 1(e)</w:t>
      </w:r>
      <w:r>
        <w:rPr>
          <w:rFonts w:ascii="Times New Roman" w:hAnsi="Times New Roman"/>
          <w:sz w:val="20"/>
        </w:rPr>
        <w:t xml:space="preserve">, will include in such Demand Registration (and in all related registrations and qualifications under state blue sky laws and in any related underwriting) all Registrable Securities with respect to which the Company has received written requests for inclusion therein within four (4) Business Days after the receipt of the Company’s notice; </w:t>
      </w:r>
      <w:r>
        <w:rPr>
          <w:rFonts w:ascii="Times New Roman" w:hAnsi="Times New Roman"/>
          <w:sz w:val="20"/>
          <w:u w:val="single"/>
        </w:rPr>
        <w:t>provided</w:t>
      </w:r>
      <w:r>
        <w:rPr>
          <w:rFonts w:ascii="Times New Roman" w:hAnsi="Times New Roman"/>
          <w:sz w:val="20"/>
        </w:rPr>
        <w:t xml:space="preserve"> that, with the written consent of the Sponsor Investors, the Company may, or at the written request of the Sponsor Investors, the Company shall, instead provide notice of the Demand Registration to all other Holders within three (3) Business Days following the non-confidential filing of the registration statement with respect to the Demand Registration so long as such registration statement is not an Automatic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of Registrations</w:t>
      </w:r>
      <w:r>
        <w:rPr>
          <w:rFonts w:ascii="Times New Roman" w:hAnsi="Times New Roman"/>
          <w:sz w:val="20"/>
        </w:rPr>
        <w:t xml:space="preserve">. All Long-Form Registrations will be underwritten registrations unless otherwise approved by the Sponsor Investors. Demand Registrations will be Short-Form Registrations whenever the Company is permitted to use any applicable short-form registration statement unless otherwise requested by the Sponsor Investors.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Shelf Registrations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For so long as a registration statement for a Shelf Registration (a “</w:t>
      </w:r>
      <w:r>
        <w:rPr>
          <w:rFonts w:ascii="Times New Roman" w:hAnsi="Times New Roman"/>
          <w:sz w:val="20"/>
          <w:u w:val="single"/>
        </w:rPr>
        <w:t>Shelf Registration Statement</w:t>
      </w:r>
      <w:r>
        <w:rPr>
          <w:rFonts w:ascii="Times New Roman" w:hAnsi="Times New Roman"/>
          <w:sz w:val="20"/>
        </w:rPr>
        <w:t>”) is and remains effective, the Sponsor Investors will have the right at any time or from time to time to elect to sell pursuant to an offering (including an underwritten offering) Registrable Securities available for sale pursuant to such registration statement (“</w:t>
      </w:r>
      <w:r>
        <w:rPr>
          <w:rFonts w:ascii="Times New Roman" w:hAnsi="Times New Roman"/>
          <w:sz w:val="20"/>
          <w:u w:val="single"/>
        </w:rPr>
        <w:t>Shelf Registrable Securities</w:t>
      </w:r>
      <w:r>
        <w:rPr>
          <w:rFonts w:ascii="Times New Roman" w:hAnsi="Times New Roman"/>
          <w:sz w:val="20"/>
        </w:rPr>
        <w:t>”). If the Sponsor Investors desire to sell Registrable Securities pursuant to an underwritten offering, then the Sponsor Investors may deliver to the Company a written notice (a “</w:t>
      </w:r>
      <w:r>
        <w:rPr>
          <w:rFonts w:ascii="Times New Roman" w:hAnsi="Times New Roman"/>
          <w:sz w:val="20"/>
          <w:u w:val="single"/>
        </w:rPr>
        <w:t>Shelf Offering Notice</w:t>
      </w:r>
      <w:r>
        <w:rPr>
          <w:rFonts w:ascii="Times New Roman" w:hAnsi="Times New Roman"/>
          <w:sz w:val="20"/>
        </w:rPr>
        <w:t>”) specifying the number of Shelf Registrable Securities that the Sponsor Investors desire to sell pursuant to such underwritten offering (the “</w:t>
      </w:r>
      <w:r>
        <w:rPr>
          <w:rFonts w:ascii="Times New Roman" w:hAnsi="Times New Roman"/>
          <w:sz w:val="20"/>
          <w:u w:val="single"/>
        </w:rPr>
        <w:t>Shelf Offering</w:t>
      </w:r>
      <w:r>
        <w:rPr>
          <w:rFonts w:ascii="Times New Roman" w:hAnsi="Times New Roman"/>
          <w:sz w:val="20"/>
        </w:rPr>
        <w:t xml:space="preserve">”). As promptly as practicable, but in no event later than two (2) Business Days after receipt of a Shelf Offering Notice, the Company will give written notice of such Shelf Offering Notice to all other Holders of Shelf Registrable Securities that have been identified as selling stockholders in such Shelf Registration Statement and are otherwise permitted to sell in such Shelf Offering, which such notice shall request that each such Holder specify, within three (3) Business Days after the Company’s receipt of the Shelf Offering Notice, the maximum number of Shelf Registrable Securities such Holder desires to be disposed of in such Shelf Offering. The Company, subject to </w:t>
      </w:r>
      <w:r>
        <w:rPr>
          <w:rFonts w:ascii="Times New Roman" w:hAnsi="Times New Roman"/>
          <w:sz w:val="20"/>
          <w:u w:val="single"/>
        </w:rPr>
        <w:t>Section 1(e)</w:t>
      </w:r>
      <w:r>
        <w:rPr>
          <w:rFonts w:ascii="Times New Roman" w:hAnsi="Times New Roman"/>
          <w:sz w:val="20"/>
        </w:rPr>
        <w:t xml:space="preserve"> and </w:t>
      </w:r>
      <w:r>
        <w:rPr>
          <w:rFonts w:ascii="Times New Roman" w:hAnsi="Times New Roman"/>
          <w:sz w:val="20"/>
          <w:u w:val="single"/>
        </w:rPr>
        <w:t>Section 7</w:t>
      </w:r>
      <w:r>
        <w:rPr>
          <w:rFonts w:ascii="Times New Roman" w:hAnsi="Times New Roman"/>
          <w:sz w:val="20"/>
        </w:rPr>
        <w:t xml:space="preserve">, will include in such Shelf Offering all Shelf Registrable Securities with respect to which the Company has received timely written requests for inclusion. The Company will, as expeditiously as possible (and in any event within fourteen (14) days after the receipt of a Shelf Offering Notice), but subject to </w:t>
      </w:r>
      <w:r>
        <w:rPr>
          <w:rFonts w:ascii="Times New Roman" w:hAnsi="Times New Roman"/>
          <w:sz w:val="20"/>
          <w:u w:val="single"/>
        </w:rPr>
        <w:t>Section 1(e)</w:t>
      </w:r>
      <w:r>
        <w:rPr>
          <w:rFonts w:ascii="Times New Roman" w:hAnsi="Times New Roman"/>
          <w:sz w:val="20"/>
        </w:rPr>
        <w:t xml:space="preserve">, use its best efforts to consummate such Shelf Offering. </w:t>
      </w:r>
    </w:p>
    <w:p>
      <w:pPr>
        <w:pStyle w:val="TextBody"/>
        <w:bidi w:val="0"/>
        <w:spacing w:before="120" w:after="0"/>
        <w:jc w:val="left"/>
        <w:rPr>
          <w:rFonts w:ascii="Times New Roman" w:hAnsi="Times New Roman"/>
          <w:sz w:val="20"/>
        </w:rPr>
      </w:pPr>
      <w:r>
        <w:rPr>
          <w:rFonts w:ascii="Times New Roman" w:hAnsi="Times New Roman"/>
          <w:sz w:val="20"/>
        </w:rPr>
        <w:t>(ii) If the Sponsor Investors desire to engage in an underwritten block trade or bought deal pursuant to a Shelf Registration Statement (either through filing an Automatic Shelf Registration Statement or through a take-down from an already existing Shelf Registration Statement) (each, an “</w:t>
      </w:r>
      <w:r>
        <w:rPr>
          <w:rFonts w:ascii="Times New Roman" w:hAnsi="Times New Roman"/>
          <w:sz w:val="20"/>
          <w:u w:val="single"/>
        </w:rPr>
        <w:t>Underwritten Block Trade</w:t>
      </w:r>
      <w:r>
        <w:rPr>
          <w:rFonts w:ascii="Times New Roman" w:hAnsi="Times New Roman"/>
          <w:sz w:val="20"/>
        </w:rPr>
        <w:t xml:space="preserve">”), then notwithstanding the time periods set forth in </w:t>
      </w:r>
      <w:r>
        <w:rPr>
          <w:rFonts w:ascii="Times New Roman" w:hAnsi="Times New Roman"/>
          <w:sz w:val="20"/>
          <w:u w:val="single"/>
        </w:rPr>
        <w:t>Section 1(d)(i)</w:t>
      </w:r>
      <w:r>
        <w:rPr>
          <w:rFonts w:ascii="Times New Roman" w:hAnsi="Times New Roman"/>
          <w:sz w:val="20"/>
        </w:rPr>
        <w:t>, the Sponsor Investors may notify the Company of the Underwritten Block Trade not less than two (2) Business Days prior to the day such offering is first anticipated to commence. If requested by the Sponsor Investors, the Company will promptly notify other Holders of such Underwritten Block Trade and such notified Holders (each, a “</w:t>
      </w:r>
      <w:r>
        <w:rPr>
          <w:rFonts w:ascii="Times New Roman" w:hAnsi="Times New Roman"/>
          <w:sz w:val="20"/>
          <w:u w:val="single"/>
        </w:rPr>
        <w:t>Potential Participant</w:t>
      </w:r>
      <w:r>
        <w:rPr>
          <w:rFonts w:ascii="Times New Roman" w:hAnsi="Times New Roman"/>
          <w:sz w:val="20"/>
        </w:rPr>
        <w:t>”) may elect whether or not to participate no later than the next Business Day (</w:t>
      </w:r>
      <w:r>
        <w:rPr>
          <w:rFonts w:ascii="Times New Roman" w:hAnsi="Times New Roman"/>
          <w:i/>
          <w:sz w:val="20"/>
        </w:rPr>
        <w:t>i.e.</w:t>
      </w:r>
      <w:r>
        <w:rPr>
          <w:rFonts w:ascii="Times New Roman" w:hAnsi="Times New Roman"/>
          <w:sz w:val="20"/>
        </w:rPr>
        <w:t xml:space="preserve"> one (1) Business Day prior to the day such offering is to commence) (unless a longer period is agreed to by the Sponsor Investors), and the Company will as expeditiously as possible use its best efforts to facilitate such Underwritten Block Trade (which may close as early as two (2) Business Days after the date it commences); </w:t>
      </w:r>
      <w:r>
        <w:rPr>
          <w:rFonts w:ascii="Times New Roman" w:hAnsi="Times New Roman"/>
          <w:sz w:val="20"/>
          <w:u w:val="single"/>
        </w:rPr>
        <w:t>provided</w:t>
      </w:r>
      <w:r>
        <w:rPr>
          <w:rFonts w:ascii="Times New Roman" w:hAnsi="Times New Roman"/>
          <w:sz w:val="20"/>
        </w:rPr>
        <w:t xml:space="preserve"> that, notwithstanding the provisions of </w:t>
      </w:r>
      <w:r>
        <w:rPr>
          <w:rFonts w:ascii="Times New Roman" w:hAnsi="Times New Roman"/>
          <w:sz w:val="20"/>
          <w:u w:val="single"/>
        </w:rPr>
        <w:t>Section 1(d)(i)</w:t>
      </w:r>
      <w:r>
        <w:rPr>
          <w:rFonts w:ascii="Times New Roman" w:hAnsi="Times New Roman"/>
          <w:sz w:val="20"/>
        </w:rPr>
        <w:t xml:space="preserve">, no Holder (other than Holders of Sponsor Investor Registrable Securities) will be permitted to participate in an Underwritten Block Trade without the written consent (which may be given by email) of the Sponsor Investors. Any Potential Participant’s request to participate in an Underwritten Block Trade shall be binding on the Potential Participant. </w:t>
      </w:r>
    </w:p>
    <w:p>
      <w:pPr>
        <w:pStyle w:val="TextBody"/>
        <w:bidi w:val="0"/>
        <w:spacing w:before="120" w:after="0"/>
        <w:jc w:val="left"/>
        <w:rPr>
          <w:rFonts w:ascii="Times New Roman" w:hAnsi="Times New Roman"/>
          <w:sz w:val="20"/>
        </w:rPr>
      </w:pPr>
      <w:r>
        <w:rPr>
          <w:rFonts w:ascii="Times New Roman" w:hAnsi="Times New Roman"/>
          <w:sz w:val="20"/>
        </w:rPr>
        <w:t xml:space="preserve">(iii) All determinations as to whether to complete any Shelf Offering and as to the timing, manner, price and other terms of any Shelf Offering contemplated by this </w:t>
      </w:r>
      <w:r>
        <w:rPr>
          <w:rFonts w:ascii="Times New Roman" w:hAnsi="Times New Roman"/>
          <w:sz w:val="20"/>
          <w:u w:val="single"/>
        </w:rPr>
        <w:t>Section 1(d)</w:t>
      </w:r>
      <w:r>
        <w:rPr>
          <w:rFonts w:ascii="Times New Roman" w:hAnsi="Times New Roman"/>
          <w:sz w:val="20"/>
        </w:rPr>
        <w:t xml:space="preserve"> shall be determined by the Sponsor Investors, and the Company shall use its best efforts to cause any Shelf Offering to occur in accordance with such determinations as promptly as practicable.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will, at the request of the Sponsor Investors, file any prospectus supplement or any post-effective amendments and otherwise take any action necessary to include therein all disclosure and language deemed necessary or advisable by the Sponsor Investors to effect such Shelf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Subject to the terms of </w:t>
      </w:r>
      <w:r>
        <w:rPr>
          <w:rFonts w:ascii="Times New Roman" w:hAnsi="Times New Roman"/>
          <w:sz w:val="20"/>
          <w:u w:val="single"/>
        </w:rPr>
        <w:t>Section 1(f</w:t>
      </w:r>
      <w:r>
        <w:rPr>
          <w:rFonts w:ascii="Times New Roman" w:hAnsi="Times New Roman"/>
          <w:sz w:val="20"/>
        </w:rPr>
        <w:t>), the Company will use best efforts to keep the Shelf Registration Statement continuously effective until the date on which all Registrable Securities covered by the Shelf Registration Statement have been sold thereunder in accordance with the plan and method of distribution disclosed in the prospectus included in the Shelf Registration Statement, or otherwise (the “</w:t>
      </w:r>
      <w:r>
        <w:rPr>
          <w:rFonts w:ascii="Times New Roman" w:hAnsi="Times New Roman"/>
          <w:sz w:val="20"/>
          <w:u w:val="single"/>
        </w:rPr>
        <w:t>Shelf Period</w:t>
      </w:r>
      <w:r>
        <w:rPr>
          <w:rFonts w:ascii="Times New Roman" w:hAnsi="Times New Roman"/>
          <w:sz w:val="20"/>
        </w:rPr>
        <w:t xml:space="preserve">”). Subject to </w:t>
      </w:r>
      <w:r>
        <w:rPr>
          <w:rFonts w:ascii="Times New Roman" w:hAnsi="Times New Roman"/>
          <w:sz w:val="20"/>
          <w:u w:val="single"/>
        </w:rPr>
        <w:t>Section 1(f)</w:t>
      </w:r>
      <w:r>
        <w:rPr>
          <w:rFonts w:ascii="Times New Roman" w:hAnsi="Times New Roman"/>
          <w:sz w:val="20"/>
        </w:rPr>
        <w:t xml:space="preserve">, the Company shall not be deemed to have used its best efforts to keep the Shelf Registration Statement effective during the Shelf Period if the Company voluntarily takes any action or omits to take any action that would result in Holders of Registrable Securities covered thereby not being able to offer and sell any Registrable Securities pursuant to such Shelf Registration Statement during the Shelf Period, unless such action or omission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Priority on Demand Registrations and Shelf Offerings</w:t>
      </w:r>
      <w:r>
        <w:rPr>
          <w:rFonts w:ascii="Times New Roman" w:hAnsi="Times New Roman"/>
          <w:sz w:val="20"/>
        </w:rPr>
        <w:t xml:space="preserve">. The Company will not include in any Demand Registration any securities that are not Registrable Securities without the prior written consent of the Sponsor Investors. If a Demand Registration or a Shelf Offering is an underwritten offering and the managing underwriters advise the Company in writing that in their opinion the number of Registrable Securities and (if permitted hereunder) other securities requested to be included in such offering exceeds the number of Registrable Securities and other securities (if any), which can be sold therein without adversely affecting the marketability, proposed offering price, timing or method of distribution of the offering, then the Company will include in such offering (prior to the inclusion of any securities which are not Registrable Securities) the number of Registrable Securities requested to be included by any Holder which, in the opinion of such underwriters, can be sold, without any such adverse effect, pro rata among such Holders on the basis of the number of Registrable Securities owned by each such Holder. Notwithstanding anything to the contrary herein, if any Holders of Executive Registrable Securities have requested to include such securities in an underwritten offering and the managing underwriters for such offering advise the Company that in their opinion the inclusion of some or all of such Executive Registrable Securities could adversely affect the marketability, proposed offering price, timing and/or method of distribution of the offering, then the Company shall exclude from such offering the number of such Executive Registrable Securities identified by the managing underwriters as having any such adverse effect prior to the exclusion of any Registrable Securities of any other Holders as set forth in this </w:t>
      </w:r>
      <w:r>
        <w:rPr>
          <w:rFonts w:ascii="Times New Roman" w:hAnsi="Times New Roman"/>
          <w:sz w:val="20"/>
          <w:u w:val="single"/>
        </w:rPr>
        <w:t>Section 1(e)</w:t>
      </w:r>
      <w:r>
        <w:rPr>
          <w:rFonts w:ascii="Times New Roman" w:hAnsi="Times New Roman"/>
          <w:sz w:val="20"/>
        </w:rPr>
        <w:t xml:space="preserve">, which, for the avoidance of doubt, may be all such Executive Registrable Securities requested to be included in such offering.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Restrictions on Demand Registration and Shelf Offerings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may postpone, for up to 60 days (or with the consent of the Sponsor Investors, a longer period) from the date of the request (the “</w:t>
      </w:r>
      <w:r>
        <w:rPr>
          <w:rFonts w:ascii="Times New Roman" w:hAnsi="Times New Roman"/>
          <w:sz w:val="20"/>
          <w:u w:val="single"/>
        </w:rPr>
        <w:t>Suspension Period</w:t>
      </w:r>
      <w:r>
        <w:rPr>
          <w:rFonts w:ascii="Times New Roman" w:hAnsi="Times New Roman"/>
          <w:sz w:val="20"/>
        </w:rPr>
        <w:t xml:space="preserve">”), the filing or the effectiveness of a registration statement for a Demand Registration or suspend the use of a prospectus that is part of a Shelf Registration Statement (and therefore suspend sales of the Shelf Registrable Securities) by providing written notice to the Holders if the following conditions are met: (A) the Company determines that the offer or sale of Registrable Securities would reasonably be expected to have a material adverse effect on any proposal or plan by the Company or any Subsidiary to engage in any material acquisition of assets or stock (other than in the ordinary course of business) or any material merger, consolidation, tender offer, recapitalization, reorganization, financing or other transaction involving the Company and (B) upon advice of counsel, the sale of Registrable Securities pursuant to the registration statement would require disclosure of material non-public information not otherwise required to be disclosed under applicable law, and either (x) the Company has a bona fide business purpose for preserving the confidentiality of such transaction or (y) such transaction renders the Company unable to comply with SEC requirements, in each case under circumstances that would make it impractical or inadvisable to cause the registration statement (or such filings) to become effective or to promptly amend or supplement the registration statement on a post effective basis, as applicable. The Company may delay or suspend the effectiveness of a Demand Registration or Shelf Registration Statement pursuant to this </w:t>
      </w:r>
      <w:r>
        <w:rPr>
          <w:rFonts w:ascii="Times New Roman" w:hAnsi="Times New Roman"/>
          <w:sz w:val="20"/>
          <w:u w:val="single"/>
        </w:rPr>
        <w:t>Section 1(f)(i)</w:t>
      </w:r>
      <w:r>
        <w:rPr>
          <w:rFonts w:ascii="Times New Roman" w:hAnsi="Times New Roman"/>
          <w:sz w:val="20"/>
        </w:rPr>
        <w:t xml:space="preserve"> only once in any twelve (12)-month period (for avoidance of doubt, in addition to the Company’s rights and obligations under </w:t>
      </w:r>
      <w:r>
        <w:rPr>
          <w:rFonts w:ascii="Times New Roman" w:hAnsi="Times New Roman"/>
          <w:sz w:val="20"/>
          <w:u w:val="single"/>
        </w:rPr>
        <w:t>Section 4(a)(vi)</w:t>
      </w:r>
      <w:r>
        <w:rPr>
          <w:rFonts w:ascii="Times New Roman" w:hAnsi="Times New Roman"/>
          <w:sz w:val="20"/>
        </w:rPr>
        <w:t xml:space="preserve">) unless additional delays or suspensions are approved in writing by the Sponsor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In the case of an event that causes the Company to suspend the use of a Shelf Registration Statement as set forth in</w:t>
      </w:r>
      <w:r>
        <w:rPr>
          <w:rFonts w:ascii="Times New Roman" w:hAnsi="Times New Roman"/>
          <w:sz w:val="20"/>
          <w:u w:val="single"/>
        </w:rPr>
        <w:t xml:space="preserve"> Section 1(f)(i)</w:t>
      </w:r>
      <w:r>
        <w:rPr>
          <w:rFonts w:ascii="Times New Roman" w:hAnsi="Times New Roman"/>
          <w:sz w:val="20"/>
        </w:rPr>
        <w:t xml:space="preserve"> above or pursuant to </w:t>
      </w:r>
      <w:r>
        <w:rPr>
          <w:rFonts w:ascii="Times New Roman" w:hAnsi="Times New Roman"/>
          <w:sz w:val="20"/>
          <w:u w:val="single"/>
        </w:rPr>
        <w:t>Section 4(a)(vi)</w:t>
      </w:r>
      <w:r>
        <w:rPr>
          <w:rFonts w:ascii="Times New Roman" w:hAnsi="Times New Roman"/>
          <w:sz w:val="20"/>
        </w:rPr>
        <w:t xml:space="preserve"> (a “</w:t>
      </w:r>
      <w:r>
        <w:rPr>
          <w:rFonts w:ascii="Times New Roman" w:hAnsi="Times New Roman"/>
          <w:sz w:val="20"/>
          <w:u w:val="single"/>
        </w:rPr>
        <w:t>Suspension Event</w:t>
      </w:r>
      <w:r>
        <w:rPr>
          <w:rFonts w:ascii="Times New Roman" w:hAnsi="Times New Roman"/>
          <w:sz w:val="20"/>
        </w:rPr>
        <w:t>”), the Company will give a notice to the Holders whose Registrable Securities are registered pursuant to such Shelf Registration Statement (a “</w:t>
      </w:r>
      <w:r>
        <w:rPr>
          <w:rFonts w:ascii="Times New Roman" w:hAnsi="Times New Roman"/>
          <w:sz w:val="20"/>
          <w:u w:val="single"/>
        </w:rPr>
        <w:t>Suspension Notice</w:t>
      </w:r>
      <w:r>
        <w:rPr>
          <w:rFonts w:ascii="Times New Roman" w:hAnsi="Times New Roman"/>
          <w:sz w:val="20"/>
        </w:rPr>
        <w:t>”) to suspend sales of the Registrable Securities and such notice must state generally the basis for the notice and that such suspension will continue only for so long as the Suspension Event or its effect is continuing. Each Holder agrees not to effect any sales of its Registrable Securities pursuant to such Shelf Registration Statement (or such filings) at any time after it has received a Suspension Notice from the Company and prior to receipt of an End of Suspension Notice. A Holder may recommence effecting sales of the Registrable Securities pursuant to the Shelf Registration Statement (or such filings) following further written notice to such effect (an “</w:t>
      </w:r>
      <w:r>
        <w:rPr>
          <w:rFonts w:ascii="Times New Roman" w:hAnsi="Times New Roman"/>
          <w:sz w:val="20"/>
          <w:u w:val="single"/>
        </w:rPr>
        <w:t>End of Suspension Notice</w:t>
      </w:r>
      <w:r>
        <w:rPr>
          <w:rFonts w:ascii="Times New Roman" w:hAnsi="Times New Roman"/>
          <w:sz w:val="20"/>
        </w:rPr>
        <w:t xml:space="preserve">”) from the Company, which End of Suspension Notice will be given by the Company to the Holders promptly following the conclusion of any Suspension Event (and in any event during the permitted Suspension Period).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Selection of Underwriters</w:t>
      </w:r>
      <w:r>
        <w:rPr>
          <w:rFonts w:ascii="Times New Roman" w:hAnsi="Times New Roman"/>
          <w:sz w:val="20"/>
        </w:rPr>
        <w:t xml:space="preserve">. The Sponsor Investors shall select each of the legal counsel to the Company, the investment banker(s) and manager(s) to administer any underwritten offering in connection with any Demand Registration or Shelf Offering.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Distributions of Registrable Securities to Partners or Members.</w:t>
      </w:r>
      <w:r>
        <w:rPr>
          <w:rFonts w:ascii="Times New Roman" w:hAnsi="Times New Roman"/>
          <w:sz w:val="20"/>
        </w:rPr>
        <w:t xml:space="preserve"> In the event the Sponsor Investors request to participate in a registration pursuant to this </w:t>
      </w:r>
      <w:r>
        <w:rPr>
          <w:rFonts w:ascii="Times New Roman" w:hAnsi="Times New Roman"/>
          <w:sz w:val="20"/>
          <w:u w:val="single"/>
        </w:rPr>
        <w:t>Section 1</w:t>
      </w:r>
      <w:r>
        <w:rPr>
          <w:rFonts w:ascii="Times New Roman" w:hAnsi="Times New Roman"/>
          <w:sz w:val="20"/>
        </w:rPr>
        <w:t xml:space="preserve"> in connection with a distribution of Registrable Securities to its partners or members, the registration shall provide for resale by such partners or members, if requested by the Sponsor Investors.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Other Registration Rights</w:t>
      </w:r>
      <w:r>
        <w:rPr>
          <w:rFonts w:ascii="Times New Roman" w:hAnsi="Times New Roman"/>
          <w:sz w:val="20"/>
        </w:rPr>
        <w:t xml:space="preserve">. Except as provided in this Agreement, the Company will not grant to any Person(s) the right to request the Company or any Subsidiary to register any equity securities of the Company or any Subsidiary, or any securities convertible or exchangeable into or exercisable for such securities, without the prior written consent of the Sponsor Investors; </w:t>
      </w:r>
      <w:r>
        <w:rPr>
          <w:rFonts w:ascii="Times New Roman" w:hAnsi="Times New Roman"/>
          <w:sz w:val="20"/>
          <w:u w:val="single"/>
        </w:rPr>
        <w:t>provided</w:t>
      </w:r>
      <w:r>
        <w:rPr>
          <w:rFonts w:ascii="Times New Roman" w:hAnsi="Times New Roman"/>
          <w:sz w:val="20"/>
        </w:rPr>
        <w:t xml:space="preserve"> that, with the prior approval of the Sponsor Investors, the Company may grant rights to employees of the Company and its Subsidiaries to participate in Piggyback Registrations so long as they sign a Joinder as an “Executive” and Holder of “Executive Registrable Securities”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Revocation of Demand Notice or Shelf Offering Notice</w:t>
      </w:r>
      <w:r>
        <w:rPr>
          <w:rFonts w:ascii="Times New Roman" w:hAnsi="Times New Roman"/>
          <w:sz w:val="20"/>
        </w:rPr>
        <w:t xml:space="preserve">. At any time prior to the effective date of the registration statement relating to a Demand Registration or the “pricing” of any offering relating to a Shelf Offering Notice, the Sponsor Investors who initiated such Demand Registration or Shelf Offering may revoke or withdraw such notice of a Demand Registration or Shelf Offering Notice on behalf of all Holders participating in such Demand Registration or Shelf Offering without liability to such Holders (including, for the avoidance of doubt, the other Participating Sponsor Investors), in each case by providing written notice to the Company and the Company shall immediately cease all efforts to secure effectiveness of the registration statement relating to such Demand Registration or the “pricing” of the offering relating to such Shelf Offering Notice,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Confidentiality</w:t>
      </w:r>
      <w:r>
        <w:rPr>
          <w:rFonts w:ascii="Times New Roman" w:hAnsi="Times New Roman"/>
          <w:sz w:val="20"/>
        </w:rPr>
        <w:t xml:space="preserve">. Each Holder agrees to treat as confidential the receipt of any notice hereunder (including notice of a Demand Registration, a Shelf Offering Notice and a Suspension Notice)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Piggyback Registrations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Piggyback</w:t>
      </w:r>
      <w:r>
        <w:rPr>
          <w:rFonts w:ascii="Times New Roman" w:hAnsi="Times New Roman"/>
          <w:sz w:val="20"/>
        </w:rPr>
        <w:t>. Whenever the Company proposes to register any of its equity securities under the Securities Act (including primary and secondary registrations, and other than pursuant to an Excluded Registration) (a “</w:t>
      </w:r>
      <w:r>
        <w:rPr>
          <w:rFonts w:ascii="Times New Roman" w:hAnsi="Times New Roman"/>
          <w:sz w:val="20"/>
          <w:u w:val="single"/>
        </w:rPr>
        <w:t>Piggyback Registration</w:t>
      </w:r>
      <w:r>
        <w:rPr>
          <w:rFonts w:ascii="Times New Roman" w:hAnsi="Times New Roman"/>
          <w:sz w:val="20"/>
        </w:rPr>
        <w:t xml:space="preserve">”), the Company will give prompt written notice (and in any event within three (3) Business Days after the public filing of the registration statement relating to the Piggyback Registration) to all Holders of its intention to effect such Piggyback Registration and, subject to the terms of </w:t>
      </w:r>
      <w:r>
        <w:rPr>
          <w:rFonts w:ascii="Times New Roman" w:hAnsi="Times New Roman"/>
          <w:sz w:val="20"/>
          <w:u w:val="single"/>
        </w:rPr>
        <w:t>Section 2(b)</w:t>
      </w:r>
      <w:r>
        <w:rPr>
          <w:rFonts w:ascii="Times New Roman" w:hAnsi="Times New Roman"/>
          <w:sz w:val="20"/>
        </w:rPr>
        <w:t xml:space="preserve"> and </w:t>
      </w:r>
      <w:r>
        <w:rPr>
          <w:rFonts w:ascii="Times New Roman" w:hAnsi="Times New Roman"/>
          <w:sz w:val="20"/>
          <w:u w:val="single"/>
        </w:rPr>
        <w:t>Section 2(c)</w:t>
      </w:r>
      <w:r>
        <w:rPr>
          <w:rFonts w:ascii="Times New Roman" w:hAnsi="Times New Roman"/>
          <w:sz w:val="20"/>
        </w:rPr>
        <w:t xml:space="preserve">, will include in such Piggyback Registration (and in all related registrations or qualifications under blue sky laws and in any related underwriting) all Registrable Securities with respect to which the Company has received written requests for inclusion therein within ten (10) days after delivery of the Company’s notice; provided that the Company shall not be required to provide such notice or include any Registrable Securities in such registration if the Sponsor Investors elect not to include any Sponsor Investor Registrable Securities in such registration, unless the Sponsor Investors otherwise consent in writing. Any Participating Sponsor Investor may withdraw its request for inclusion at any time prior to executing the underwriting agreement, or if none, prior to the applicable registration statement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Priority on Primary Registrations</w:t>
      </w:r>
      <w:r>
        <w:rPr>
          <w:rFonts w:ascii="Times New Roman" w:hAnsi="Times New Roman"/>
          <w:sz w:val="20"/>
        </w:rPr>
        <w:t>. Other than the securities the Company proposes to register on its own behalf, the Company will not include in any Piggyback Registration any securities that are not Registrable Securities without the prior written consent of the Sponsor Investors. If a Piggyback Registration is an underwritten primary registration on behalf of the Company, and the managing underwriters advise the Company in writing that in their opinion the number of securities requested to be included in such registration exceeds the number which can be sold in such offering without adversely affecting the marketability, proposed offering price, timing or method of distribution of the offering, the Company will include in such registration (i) </w:t>
      </w:r>
      <w:r>
        <w:rPr>
          <w:rFonts w:ascii="Times New Roman" w:hAnsi="Times New Roman"/>
          <w:sz w:val="20"/>
          <w:u w:val="single"/>
        </w:rPr>
        <w:t>first</w:t>
      </w:r>
      <w:r>
        <w:rPr>
          <w:rFonts w:ascii="Times New Roman" w:hAnsi="Times New Roman"/>
          <w:sz w:val="20"/>
        </w:rPr>
        <w:t>, the securities the Company proposes to sell, (ii) </w:t>
      </w:r>
      <w:r>
        <w:rPr>
          <w:rFonts w:ascii="Times New Roman" w:hAnsi="Times New Roman"/>
          <w:sz w:val="20"/>
          <w:u w:val="single"/>
        </w:rPr>
        <w:t>second</w:t>
      </w:r>
      <w:r>
        <w:rPr>
          <w:rFonts w:ascii="Times New Roman" w:hAnsi="Times New Roman"/>
          <w:sz w:val="20"/>
        </w:rPr>
        <w:t>, the Registrable Securities requested to be included in such registration by any Holder which, in the opinion of such underwriters, can be sold, without any such adverse effect, pro rata among such Holders on the basis of the number of Registrable Securities owned by each such Holder and (iii) </w:t>
      </w:r>
      <w:r>
        <w:rPr>
          <w:rFonts w:ascii="Times New Roman" w:hAnsi="Times New Roman"/>
          <w:sz w:val="20"/>
          <w:u w:val="single"/>
        </w:rPr>
        <w:t>third</w:t>
      </w:r>
      <w:r>
        <w:rPr>
          <w:rFonts w:ascii="Times New Roman" w:hAnsi="Times New Roman"/>
          <w:sz w:val="20"/>
        </w:rPr>
        <w:t xml:space="preserve">, other securities requested to be included in such registration which, in the opinion of the underwriters, can be sold without any such adverse effect. Notwithstanding anything to the contrary herein, if any Holders of Executive Registrable Securities have requested to include such securities in a Piggyback Registration that is an underwritten primary offering on behalf of the Company and the managing underwriters for such offering advise the Company in writing that in their opinion the inclusion of some or all of such Executive Registrable Securities could adversely affect the marketability, proposed offering price, timing and/or method of distribution of the offering, the Company shall first exclude from such offering the number (which may be all) of such Executive Registrable Securities identified by the managing underwriters as having any such adverse effect prior to the exclusion of any securities in such offering.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Priority on Secondary Registrations</w:t>
      </w:r>
      <w:r>
        <w:rPr>
          <w:rFonts w:ascii="Times New Roman" w:hAnsi="Times New Roman"/>
          <w:sz w:val="20"/>
        </w:rPr>
        <w:t xml:space="preserve">. Other than the securities the Company proposes to register on its own behalf, the Company will not include in any Piggyback Registration any securities that are not Registrable Securities without the prior written consent of the Sponsor Investors. If a Piggyback Registration is an underwritten secondary registration on behalf of holders of the Company’s equity securities (other than pursuant to </w:t>
      </w:r>
      <w:r>
        <w:rPr>
          <w:rFonts w:ascii="Times New Roman" w:hAnsi="Times New Roman"/>
          <w:sz w:val="20"/>
          <w:u w:val="single"/>
        </w:rPr>
        <w:t>Section 1</w:t>
      </w:r>
      <w:r>
        <w:rPr>
          <w:rFonts w:ascii="Times New Roman" w:hAnsi="Times New Roman"/>
          <w:sz w:val="20"/>
        </w:rPr>
        <w:t xml:space="preserve"> hereof), and the managing underwriters advise the Company in writing that in their opinion the number of securities requested to be included in such registration exceeds the number which can be sold in such offering without adversely affecting the marketability, proposed offering price, timing or method of distribution of the offering, the Company will include in such registration (i) </w:t>
      </w:r>
      <w:r>
        <w:rPr>
          <w:rFonts w:ascii="Times New Roman" w:hAnsi="Times New Roman"/>
          <w:sz w:val="20"/>
          <w:u w:val="single"/>
        </w:rPr>
        <w:t>first</w:t>
      </w:r>
      <w:r>
        <w:rPr>
          <w:rFonts w:ascii="Times New Roman" w:hAnsi="Times New Roman"/>
          <w:sz w:val="20"/>
        </w:rPr>
        <w:t>, the securities requested to be included therein by the holders initially requesting such registration which, in the opinion of the underwriters, can be sold without any such adverse effect, (ii) </w:t>
      </w:r>
      <w:r>
        <w:rPr>
          <w:rFonts w:ascii="Times New Roman" w:hAnsi="Times New Roman"/>
          <w:sz w:val="20"/>
          <w:u w:val="single"/>
        </w:rPr>
        <w:t>second</w:t>
      </w:r>
      <w:r>
        <w:rPr>
          <w:rFonts w:ascii="Times New Roman" w:hAnsi="Times New Roman"/>
          <w:sz w:val="20"/>
        </w:rPr>
        <w:t>, the Registrable Securities requested to be included in such registration by any other Holder which, in the opinion of such underwriters, can be sold, without any such adverse effect, pro rata among such Holders on the basis of the number of Registrable Securities owned by each such Holder and (iii) </w:t>
      </w:r>
      <w:r>
        <w:rPr>
          <w:rFonts w:ascii="Times New Roman" w:hAnsi="Times New Roman"/>
          <w:sz w:val="20"/>
          <w:u w:val="single"/>
        </w:rPr>
        <w:t>third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securities requested to be included in such registration which, in the opinion of the underwriters, can be sold without any such adverse effect. Notwithstanding anything to the contrary herein, if any Holders of Executive Registrable Securities have requested to include such securities in a Piggyback Registration that is an underwritten secondary offering and the managing underwriters for such offering advise the Company in writing that in their opinion the inclusion of some or all of such Executive Registrable Securities could adversely affect the marketability, proposed offering price, timing or method of distribution of the offering, the Company shall be permitted to first exclude from such offering the number (which may be all) of such Executive Registrable Securities identified by the managing underwriters as having any such adverse effect prior to the exclusion of any securities in such offering.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Right to Terminate Registration</w:t>
      </w:r>
      <w:r>
        <w:rPr>
          <w:rFonts w:ascii="Times New Roman" w:hAnsi="Times New Roman"/>
          <w:sz w:val="20"/>
        </w:rPr>
        <w:t xml:space="preserve">. The Company will have the right to terminate or withdraw any registration initiated by it under this </w:t>
      </w:r>
      <w:r>
        <w:rPr>
          <w:rFonts w:ascii="Times New Roman" w:hAnsi="Times New Roman"/>
          <w:sz w:val="20"/>
          <w:u w:val="single"/>
        </w:rPr>
        <w:t>Section 2</w:t>
      </w:r>
      <w:r>
        <w:rPr>
          <w:rFonts w:ascii="Times New Roman" w:hAnsi="Times New Roman"/>
          <w:sz w:val="20"/>
        </w:rPr>
        <w:t xml:space="preserve">, whether or not any holder of Registrable Securities has elected to include securities in such registration; </w:t>
      </w:r>
      <w:r>
        <w:rPr>
          <w:rFonts w:ascii="Times New Roman" w:hAnsi="Times New Roman"/>
          <w:i/>
          <w:sz w:val="20"/>
        </w:rPr>
        <w:t xml:space="preserve">provided </w:t>
      </w:r>
      <w:r>
        <w:rPr>
          <w:rFonts w:ascii="Times New Roman" w:hAnsi="Times New Roman"/>
          <w:sz w:val="20"/>
        </w:rPr>
        <w:t xml:space="preserve">that a Sponsor Investor may continue the registration as a Demand Registration pursuant to the terms of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Selection of Underwriters</w:t>
      </w:r>
      <w:r>
        <w:rPr>
          <w:rFonts w:ascii="Times New Roman" w:hAnsi="Times New Roman"/>
          <w:sz w:val="20"/>
        </w:rPr>
        <w:t xml:space="preserve">. If any Piggyback Registration is an underwritten offering, the Sponsor Investors shall select each of the legal counsel for the Company, the investment banker(s) and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Stockholder Lock-Up Agreements and Company Holdback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Lock-up Agreements</w:t>
      </w:r>
      <w:r>
        <w:rPr>
          <w:rFonts w:ascii="Times New Roman" w:hAnsi="Times New Roman"/>
          <w:sz w:val="20"/>
        </w:rPr>
        <w:t>. In connection with any underwritten Public Offering, each Holder will enter into any lock-up, holdback or similar agreements requested by the underwriter(s) managing such offering, in each case with such modifications and exceptions as may be approved by the Sponsor Investors. Without limiting the generality of the foregoing, each Holder hereby agrees that in connection with the initial Public Offering and in connection with any Demand Registration, Shelf Offering or Piggyback Registration that is an underwritten Public Offering, not to (i) offer, sell, contract to sell, pledge or otherwise dispose of (including sales pursuant to Rule 144), directly or indirectly, any equity securities of the Company (including equity securities of the Company that may be deemed to be beneficially owned by such Holder in accordance with the rules and regulations of the SEC) (collectively, “</w:t>
      </w:r>
      <w:r>
        <w:rPr>
          <w:rFonts w:ascii="Times New Roman" w:hAnsi="Times New Roman"/>
          <w:sz w:val="20"/>
          <w:u w:val="single"/>
        </w:rPr>
        <w:t>Securities</w:t>
      </w:r>
      <w:r>
        <w:rPr>
          <w:rFonts w:ascii="Times New Roman" w:hAnsi="Times New Roman"/>
          <w:sz w:val="20"/>
        </w:rPr>
        <w:t>”), or any securities, options or rights convertible into or exchangeable or exercisable for Securities (collectively, “</w:t>
      </w:r>
      <w:r>
        <w:rPr>
          <w:rFonts w:ascii="Times New Roman" w:hAnsi="Times New Roman"/>
          <w:sz w:val="20"/>
          <w:u w:val="single"/>
        </w:rPr>
        <w:t>Other Securities</w:t>
      </w:r>
      <w:r>
        <w:rPr>
          <w:rFonts w:ascii="Times New Roman" w:hAnsi="Times New Roman"/>
          <w:sz w:val="20"/>
        </w:rPr>
        <w:t>”), (ii) enter into a transaction which would have the same effect as described in clause (i) above, (iii) enter into any swap, hedge or other arrangement that transfers, in whole or in part, any of the economic consequences or ownership of any Securities or Other Securities, whether such transaction is to be settled by delivery of such Securities or Other Securities, in cash or otherwise (each of (i), (ii) and (iii) above, a “</w:t>
      </w:r>
      <w:r>
        <w:rPr>
          <w:rFonts w:ascii="Times New Roman" w:hAnsi="Times New Roman"/>
          <w:sz w:val="20"/>
          <w:u w:val="single"/>
        </w:rPr>
        <w:t>Sale Transaction</w:t>
      </w:r>
      <w:r>
        <w:rPr>
          <w:rFonts w:ascii="Times New Roman" w:hAnsi="Times New Roman"/>
          <w:sz w:val="20"/>
        </w:rPr>
        <w:t>”), or (iv) publicly disclose the intention to enter into any Sale Transaction, commencing on the earlier of (A) the date on which the Company gives notice to the Holders that a preliminary prospectus for such underwritten Public Offering has been circulated to potential investors or (B) the “pricing” of such offering, and continuing to the date that is (x) 180 days following the date of the final prospectus for such underwritten Public Offering in the case of the initial Public Offering or (y) 90 days following the date of the final prospectus in the case of any other such underwritten Public Offering (each such period, or such shorter period as agreed to by the managing underwriters, a “</w:t>
      </w:r>
      <w:r>
        <w:rPr>
          <w:rFonts w:ascii="Times New Roman" w:hAnsi="Times New Roman"/>
          <w:sz w:val="20"/>
          <w:u w:val="single"/>
        </w:rPr>
        <w:t>Holdback Period</w:t>
      </w:r>
      <w:r>
        <w:rPr>
          <w:rFonts w:ascii="Times New Roman" w:hAnsi="Times New Roman"/>
          <w:sz w:val="20"/>
        </w:rPr>
        <w:t xml:space="preserve">”), in each case with such modifications and exceptions as may be approved by the Sponsor Investors;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restrictions shall not apply to (i) Securities acquired in the public market subsequent to the initial Public Offering, (ii) distributions-in-kind to a Holder’s partners or members, (iii) transfers to Affiliates, but only if such Affiliates agree to be bound by the restrictions herein, (iv) conversion or exchange of Securities or Other Securities into Common Equity, (v) any pledge, hypothecation or other grant of a security interest in Securities or Other Securities to one or more banks, financial or lending institutions as collateral or security for any loan, advance, margin loan or extension of credit or similar financing activity or arrangements and any transfer upon foreclosure upon or enforcement of such Securities or Other Securities, </w:t>
      </w:r>
      <w:r>
        <w:rPr>
          <w:rFonts w:ascii="Times New Roman" w:hAnsi="Times New Roman"/>
          <w:i/>
          <w:sz w:val="20"/>
        </w:rPr>
        <w:t>provided</w:t>
      </w:r>
      <w:r>
        <w:rPr>
          <w:rFonts w:ascii="Times New Roman" w:hAnsi="Times New Roman"/>
          <w:sz w:val="20"/>
        </w:rPr>
        <w:t xml:space="preserve"> that the terms of such pledge,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hypothecation or other grant of a security interest shall provide that such Securities or Other Securities may not be transferred to the applicable bank, financial or lending institution until the expiration of the applicable Holdback Period, and (vi) to the extent otherwise set forth in the lock-up, holdback or similar agreements requested by the underwriter(s) managing such offering signed by each Holder in connection with any underwritten Public Offering. The Company may impose stop-transfer instructions with respect to any Securities or Other Securities subject to the restrictions set forth in this </w:t>
      </w:r>
      <w:r>
        <w:rPr>
          <w:rFonts w:ascii="Times New Roman" w:hAnsi="Times New Roman"/>
          <w:sz w:val="20"/>
          <w:u w:val="single"/>
        </w:rPr>
        <w:t>Section 3(a)</w:t>
      </w:r>
      <w:r>
        <w:rPr>
          <w:rFonts w:ascii="Times New Roman" w:hAnsi="Times New Roman"/>
          <w:sz w:val="20"/>
        </w:rPr>
        <w:t xml:space="preserve"> until the end of such Holdback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Holdback Agreement</w:t>
      </w:r>
      <w:r>
        <w:rPr>
          <w:rFonts w:ascii="Times New Roman" w:hAnsi="Times New Roman"/>
          <w:sz w:val="20"/>
        </w:rPr>
        <w:t xml:space="preserve">. The Company (i) will not file any registration statement for a Public Offering or cause any such registration statement to become effective, or effect any public sale or distribution of its Securities or Other Securities during any Holdback Period (other than as part of such underwritten Public Offering, or a registration on Form S-4 or Form S-8 or any successor or similar form which is (x) then in effect or (y) shall become effective upon the conversion, exchange or exercise of any then outstanding Other Securities) and (ii) will cause each holder of Securities and Other Securities (including each of its directors and executive officers) to agree not to effect any Sale Transaction during any Holdback Period, except as part of such underwritten registration (if otherwise permitted), unless approved in writing by the Sponsor Investors and the underwriters managing the Public Offering and to enter into any lock-up, holdback or similar agreements requested by the underwriter(s) managing such offering, in each case with such modifications and exceptions as may be approved by the Sponsor Investors.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Obligations</w:t>
      </w:r>
      <w:r>
        <w:rPr>
          <w:rFonts w:ascii="Times New Roman" w:hAnsi="Times New Roman"/>
          <w:sz w:val="20"/>
        </w:rPr>
        <w:t xml:space="preserve">. Whenever the Holders have requested that any Registrable Securities be registered pursuant to this Agreement or have initiated a Shelf Offering, the Company will use its best efforts to effect the registration and the sale of such Registrable Securities in accordance with the intended method of disposition thereof, and pursuant thereto the Company will as expeditiously as possible: </w:t>
      </w:r>
    </w:p>
    <w:p>
      <w:pPr>
        <w:pStyle w:val="TextBody"/>
        <w:bidi w:val="0"/>
        <w:spacing w:before="120" w:after="0"/>
        <w:jc w:val="left"/>
        <w:rPr>
          <w:rFonts w:ascii="Times New Roman" w:hAnsi="Times New Roman"/>
          <w:sz w:val="20"/>
        </w:rPr>
      </w:pPr>
      <w:r>
        <w:rPr>
          <w:rFonts w:ascii="Times New Roman" w:hAnsi="Times New Roman"/>
          <w:sz w:val="20"/>
        </w:rPr>
        <w:t xml:space="preserve">(i) prepare and file with (or submit confidentially to) the SEC a registration statement, and all amendments and supplements thereto and related prospectuses, with respect to such Registrable Securities and use its best efforts to cause such registration statement to become effective, all in accordance with the Securities Act and all applicable rules and regulations promulgated thereunder (provided that before filing or confidentially submitting a registration statement or prospectus or any amendments or supplements thereto, the Company will furnish to the counsel selected by the Sponsor Investors covered by such registration statement copies of all such documents proposed to be filed or submitted, which documents will be subject to the review and comment of such counsel); </w:t>
      </w:r>
    </w:p>
    <w:p>
      <w:pPr>
        <w:pStyle w:val="TextBody"/>
        <w:bidi w:val="0"/>
        <w:spacing w:before="120" w:after="0"/>
        <w:jc w:val="left"/>
        <w:rPr>
          <w:rFonts w:ascii="Times New Roman" w:hAnsi="Times New Roman"/>
          <w:sz w:val="20"/>
        </w:rPr>
      </w:pPr>
      <w:r>
        <w:rPr>
          <w:rFonts w:ascii="Times New Roman" w:hAnsi="Times New Roman"/>
          <w:sz w:val="20"/>
        </w:rPr>
        <w:t xml:space="preserve">(ii) notify each Holder of (A) the issuance by the SEC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 </w:t>
      </w:r>
    </w:p>
    <w:p>
      <w:pPr>
        <w:pStyle w:val="TextBody"/>
        <w:bidi w:val="0"/>
        <w:spacing w:before="120" w:after="0"/>
        <w:jc w:val="left"/>
        <w:rPr>
          <w:rFonts w:ascii="Times New Roman" w:hAnsi="Times New Roman"/>
          <w:sz w:val="20"/>
        </w:rPr>
      </w:pPr>
      <w:r>
        <w:rPr>
          <w:rFonts w:ascii="Times New Roman" w:hAnsi="Times New Roman"/>
          <w:sz w:val="20"/>
        </w:rPr>
        <w:t xml:space="preserve">(iii) prepare and file with the SEC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(iv) furnish, without charge, to each seller of Registrable Securities thereunder and each underwriter, if any, such number of copies of such registration statement, each amendment and supplement thereto, the prospectus included in such registration statement (including each preliminary prospectus) (in each case including all exhibits and documents incorporated by reference therein), each amendment and supplement thereto, each Free Writing Prospectus and such other documents as such seller or underwriter, if any, may reasonably request in order to facilitate the disposition of the Registrable Securities owned by such seller (the Company hereby consenting to the use in accordance with all applicable laws of each such registration statement, each such amendment and supplement thereto, and each such prospectus (or preliminary prospectus or supplement thereto) or Free Writing Prospectus by each such seller of Registrable Securities and the underwriters, if any, in connection with the offering and sale of the Registrable Securities covered by such registration statement or prospectus); </w:t>
      </w:r>
    </w:p>
    <w:p>
      <w:pPr>
        <w:pStyle w:val="TextBody"/>
        <w:bidi w:val="0"/>
        <w:spacing w:before="120" w:after="0"/>
        <w:jc w:val="left"/>
        <w:rPr>
          <w:rFonts w:ascii="Times New Roman" w:hAnsi="Times New Roman"/>
          <w:sz w:val="20"/>
        </w:rPr>
      </w:pPr>
      <w:r>
        <w:rPr>
          <w:rFonts w:ascii="Times New Roman" w:hAnsi="Times New Roman"/>
          <w:sz w:val="20"/>
        </w:rPr>
        <w:t>(v) use its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Times New Roman" w:hAnsi="Times New Roman"/>
          <w:sz w:val="20"/>
          <w:u w:val="single"/>
        </w:rPr>
        <w:t>provided</w:t>
      </w:r>
      <w:r>
        <w:rPr>
          <w:rFonts w:ascii="Times New Roman" w:hAnsi="Times New Roman"/>
          <w:sz w:val="20"/>
        </w:rPr>
        <w:t xml:space="preserve"> that the Company will not be required to (A) qualify generally to do business in any jurisdiction where it would not otherwise be required to qualify but for this subparagraph, (B) consent to general service of process in any such jurisdiction or (C) subject itself to taxation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notify in writing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 for the amendment or supplementing of such registration statement or prospectus or for additional information, (C) at any time when a prospectus relating thereto is required to be delivered under the Securities Act, of the happening of any event or of any information or circumstances as a result of which the prospectus included in such registration statement contains an untrue statement of a material fact or omits any fact necessary to make the statements therein not misleading, and, subject to </w:t>
      </w:r>
      <w:r>
        <w:rPr>
          <w:rFonts w:ascii="Times New Roman" w:hAnsi="Times New Roman"/>
          <w:sz w:val="20"/>
          <w:u w:val="single"/>
        </w:rPr>
        <w:t>Section 1(f)</w:t>
      </w:r>
      <w:r>
        <w:rPr>
          <w:rFonts w:ascii="Times New Roman" w:hAnsi="Times New Roman"/>
          <w:sz w:val="20"/>
        </w:rPr>
        <w:t xml:space="preserve">, if required by applicable law or to the extent requested by the Sponsor Investors, the Company will use its best efforts to promptly prepare and file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and (D) if at any time the representations and warranties of the Company in any underwriting agreement, securities sale agreement, or other similar agreement, relating to the offering shall cease to be true and correct;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 use best efforts to cause all such Registrable Securities to be listed on each securities exchange on which similar securities issued by the Company are then listed and, if not so listed, to be listed on a securities exchange and, without limiting the generality of the foregoing, to arrange for at least two market makers to register as such with respect to such Registrable Securities with FINRA, and (B) comply (and continue to comply) with the requirements of any self-regulatory organization applicable to the Company, including without limitation all corporate governance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(viii) use best efforts to provide a transfer agent and registrar for all such Registrable Securities not later than the effective date of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(ix) enter into and perform such customary agreements (including, as applicable, underwriting agreements in customary form) and take all such other actions as the Sponsor Investors or the underwriters, if any, reasonably request in order to expedite or facilitate the disposition of such Registrable Securities (including, without limitation, making available the executive officers of the Company and participating in and preparing “road shows,” investor presentations, marketing events and other selling efforts and effecting a stock or unit split or combination, recapitalization or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(x) make available for inspection by any seller of Registrable Securities, any underwriter participating in any disposition or sale pursuant to such registration statement and any attorney, accountant or other agent retained by any such seller or underwriter, all financial and other records, pertinent corporate and business documents and properties of the Company as will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 and the disposition of such Registrable Securities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(xi) take all actions to ensure that any Free Writing Prospectus utilized in connection with any Demand Registration or Piggyback Registration or Shelf Offering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(xii) otherwise use its best efforts to comply with all applicable rules and regulations of the SEC, and make available to its security holders, as soon as reasonably practicable, an earnings statement covering the period of at least twelve (12) months beginning with the first day of the Company’s first full calendar quarter after the effective date of the registration statement, which earnings statement will satisfy the provisions of Section 11(a) of the Securities Act and Rule 158 thereunder; </w:t>
      </w:r>
    </w:p>
    <w:p>
      <w:pPr>
        <w:pStyle w:val="TextBody"/>
        <w:bidi w:val="0"/>
        <w:spacing w:before="120" w:after="0"/>
        <w:jc w:val="left"/>
        <w:rPr>
          <w:rFonts w:ascii="Times New Roman" w:hAnsi="Times New Roman"/>
          <w:sz w:val="20"/>
        </w:rPr>
      </w:pPr>
      <w:r>
        <w:rPr>
          <w:rFonts w:ascii="Times New Roman" w:hAnsi="Times New Roman"/>
          <w:sz w:val="20"/>
        </w:rPr>
        <w:t xml:space="preserve">(xiii) permit any Holder which, in its sole and exclusive judgment, might be deemed to be an underwriter or a controlling person of the Company, to participate in the preparation of such registration or comparable statement and to allow such Holder to provide language for insertion therein, in form and substance satisfactory to the Company, which in the reasonable judgment of such Holder and its counsel should be included; </w:t>
      </w:r>
    </w:p>
    <w:p>
      <w:pPr>
        <w:pStyle w:val="TextBody"/>
        <w:bidi w:val="0"/>
        <w:spacing w:before="120" w:after="0"/>
        <w:jc w:val="left"/>
        <w:rPr>
          <w:rFonts w:ascii="Times New Roman" w:hAnsi="Times New Roman"/>
          <w:sz w:val="20"/>
        </w:rPr>
      </w:pPr>
      <w:r>
        <w:rPr>
          <w:rFonts w:ascii="Times New Roman" w:hAnsi="Times New Roman"/>
          <w:sz w:val="20"/>
        </w:rPr>
        <w:t xml:space="preserve">(xiv) use best efforts to (A) make Short-Form Registration available for the sale of Registrable Securities and (B) prevent the issuance of any stop order suspending the effectiveness of a registration statement, or the issuance of any order suspending or preventing the use of any related prospectus or suspending the qualification of any Common Equity included in such registration statement for sale in any jurisdiction, and in the event any such order is issued, use best efforts to obtain promptly the withdrawal of such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(xvi) cooperate with the Holders covered by the registration statement and the managing underwriter or agent, if any, to facilitate the timely preparation and delivery of certificates (not bearing any restrictive legends) representing securities to be sold under the registration statement, or the removal of any restrictive legends associated with any account at which such securities are held, and enable such securities to be in such denominations and registered in such names as the managing underwriter, or agent, if any, or such Holders may request; </w:t>
      </w:r>
    </w:p>
    <w:p>
      <w:pPr>
        <w:pStyle w:val="TextBody"/>
        <w:bidi w:val="0"/>
        <w:spacing w:before="120" w:after="0"/>
        <w:jc w:val="left"/>
        <w:rPr>
          <w:rFonts w:ascii="Times New Roman" w:hAnsi="Times New Roman"/>
          <w:sz w:val="20"/>
        </w:rPr>
      </w:pPr>
      <w:r>
        <w:rPr>
          <w:rFonts w:ascii="Times New Roman" w:hAnsi="Times New Roman"/>
          <w:sz w:val="20"/>
        </w:rPr>
        <w:t xml:space="preserve">(xvii) have appropriate officers of the Company, and use reasonable best efforts to cause representatives of the Company’s independent registered public accountants, to participate in any due diligence discussions reasonably requested by any selling Sponsor Investor or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(xviii) if requested by any managing underwriter, include in any prospectus or prospectus supplement updated financial or business information for the Company’s most recent period or current quarterly period (including estimated results or ranges of results) if required for purposes of marketing the offering in the view of the managing underwriter; </w:t>
      </w:r>
    </w:p>
    <w:p>
      <w:pPr>
        <w:pStyle w:val="TextBody"/>
        <w:bidi w:val="0"/>
        <w:spacing w:before="120" w:after="0"/>
        <w:jc w:val="left"/>
        <w:rPr>
          <w:rFonts w:ascii="Times New Roman" w:hAnsi="Times New Roman"/>
          <w:sz w:val="20"/>
        </w:rPr>
      </w:pPr>
      <w:r>
        <w:rPr>
          <w:rFonts w:ascii="Times New Roman" w:hAnsi="Times New Roman"/>
          <w:sz w:val="20"/>
        </w:rPr>
        <w:t xml:space="preserve">(xix) take no direct or indirect action prohibited by Regulation M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any prohibition is applicable to the Company, the Company will take such action as is necessary to make any such prohibition inapplicable; </w:t>
      </w:r>
    </w:p>
    <w:p>
      <w:pPr>
        <w:pStyle w:val="TextBody"/>
        <w:bidi w:val="0"/>
        <w:spacing w:before="120" w:after="0"/>
        <w:jc w:val="left"/>
        <w:rPr>
          <w:rFonts w:ascii="Times New Roman" w:hAnsi="Times New Roman"/>
          <w:sz w:val="20"/>
        </w:rPr>
      </w:pPr>
      <w:r>
        <w:rPr>
          <w:rFonts w:ascii="Times New Roman" w:hAnsi="Times New Roman"/>
          <w:sz w:val="20"/>
        </w:rPr>
        <w:t xml:space="preserve">(xx) cooperate with each Holder covered by the registration statement and each underwriter or agent participating in the disposition of such Registrable Securities and their respective counsel in connection with the preparation and filing of applications, notices, registrations and responses to requests for additional information with FINRA, the New York Stock Exchange, Nasdaq or any other national securities exchange on which the shares of Common Equity are or are to be listed, and to the extent required by the rules and regulations of FINRA, retain a Qualified Independent Underwriter acceptable to the managing underwriter; </w:t>
      </w:r>
    </w:p>
    <w:p>
      <w:pPr>
        <w:pStyle w:val="TextBody"/>
        <w:bidi w:val="0"/>
        <w:spacing w:before="120" w:after="0"/>
        <w:jc w:val="left"/>
        <w:rPr>
          <w:rFonts w:ascii="Times New Roman" w:hAnsi="Times New Roman"/>
          <w:sz w:val="20"/>
        </w:rPr>
      </w:pPr>
      <w:r>
        <w:rPr>
          <w:rFonts w:ascii="Times New Roman" w:hAnsi="Times New Roman"/>
          <w:sz w:val="20"/>
        </w:rPr>
        <w:t xml:space="preserve">(xxi) in the case of any underwritten offering, use its best efforts to obtain, and deliver to the underwriter(s), in the manner and to the extent provided for in the applicable underwriting agreement, one or more cold comfort letters from the Company’s independent public accountants in customary form and covering such matters of the type customarily covered by cold comfort letters; </w:t>
      </w:r>
    </w:p>
    <w:p>
      <w:pPr>
        <w:pStyle w:val="TextBody"/>
        <w:bidi w:val="0"/>
        <w:spacing w:before="120" w:after="0"/>
        <w:jc w:val="left"/>
        <w:rPr>
          <w:rFonts w:ascii="Times New Roman" w:hAnsi="Times New Roman"/>
          <w:sz w:val="20"/>
        </w:rPr>
      </w:pPr>
      <w:r>
        <w:rPr>
          <w:rFonts w:ascii="Times New Roman" w:hAnsi="Times New Roman"/>
          <w:sz w:val="20"/>
        </w:rPr>
        <w:t xml:space="preserve">(xxii) use its best efforts to provide (A) a legal opinion of the Company’s outside counsel, dated the effective date of such registration statement addressed to the Company, (B) on the date that such Registrable Securities are delivered to the underwriters for sale in connection with a Demand Registration or Shelf Offering, if such securities are being sold through underwriters, or, if such securities are not being sold through underwriters, on the closing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sale, (1) one or more legal opinions of the Company’s outside counsel, dated such date, in form and substance as customarily given to underwriters in an underwritten public offering or, in the case of a non-underwritten offering, to the broker, placement agent or other agent of the Holders assisting in the sale of the Registrable Securities and (2) one or more “negative assurances letters” of the Company’s outside counsel, dated such date, in form and substance as is customarily given to underwriters in an underwritten public offering or, in the case of a non-underwritten offering, to the broker, placement agent or other agent of the Holders assisting in the sale of the Registrable Securities, in each case, addressed to the underwriters, if any, or, if requested, in the case of a non-underwritten offering, to the broker, placement agent or other agent of the Holders assisting in the sale of the Registrable Securities and (3) customary certificates executed by authorized officers of the Company as may be requested by any Holder or any underwriter of such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(xxiii) if the Company files an Automatic Shelf Registration Statement covering any Registrable Securities, use its best efforts to remain a WKSI (and not become an ineligible issuer (as defined in Rule 405 under the Securities Act)) during the period during which such Automatic Shelf Registration Statement is required to remain effective; </w:t>
      </w:r>
    </w:p>
    <w:p>
      <w:pPr>
        <w:pStyle w:val="TextBody"/>
        <w:bidi w:val="0"/>
        <w:spacing w:before="120" w:after="0"/>
        <w:jc w:val="left"/>
        <w:rPr>
          <w:rFonts w:ascii="Times New Roman" w:hAnsi="Times New Roman"/>
          <w:sz w:val="20"/>
        </w:rPr>
      </w:pPr>
      <w:r>
        <w:rPr>
          <w:rFonts w:ascii="Times New Roman" w:hAnsi="Times New Roman"/>
          <w:sz w:val="20"/>
        </w:rPr>
        <w:t xml:space="preserve">(xxiv) if the Company does not pay the filing fee covering the Registrable Securities at the time an Automatic Shelf Registration Statement is filed, pay such fee at such time or times as the Registrable Securities are to be sold; </w:t>
      </w:r>
    </w:p>
    <w:p>
      <w:pPr>
        <w:pStyle w:val="TextBody"/>
        <w:bidi w:val="0"/>
        <w:spacing w:before="120" w:after="0"/>
        <w:jc w:val="left"/>
        <w:rPr>
          <w:rFonts w:ascii="Times New Roman" w:hAnsi="Times New Roman"/>
          <w:sz w:val="20"/>
        </w:rPr>
      </w:pPr>
      <w:r>
        <w:rPr>
          <w:rFonts w:ascii="Times New Roman" w:hAnsi="Times New Roman"/>
          <w:sz w:val="20"/>
        </w:rPr>
        <w:t xml:space="preserve">(xxv) if the Automatic Shelf Registration Statement has been outstanding for at least three (3) years, at the end of the third year, refile a new Automatic Shelf Registration Statement covering the Registrable Securities, and, if at any time when the Company is required to re-evaluate its WKSI status the Company determines that it is not a WKSI, use its best efforts to refile the Shelf Registration Statement on Form S-3 and, if such form is not available, Form S-1 and keep such registration statement effective during the period during which such registration statement is required to be kept effective; and </w:t>
      </w:r>
    </w:p>
    <w:p>
      <w:pPr>
        <w:pStyle w:val="TextBody"/>
        <w:bidi w:val="0"/>
        <w:spacing w:before="120" w:after="0"/>
        <w:jc w:val="left"/>
        <w:rPr>
          <w:rFonts w:ascii="Times New Roman" w:hAnsi="Times New Roman"/>
          <w:sz w:val="20"/>
        </w:rPr>
      </w:pPr>
      <w:r>
        <w:rPr>
          <w:rFonts w:ascii="Times New Roman" w:hAnsi="Times New Roman"/>
          <w:sz w:val="20"/>
        </w:rPr>
        <w:t xml:space="preserve">(xxvi) if requested by any Participating Sponsor Investor, cooperate with such Participating Sponsor Investor and with the managing underwriter or agent, if any, on reasonable notice to facilitate any Charitable Gifting Event and to prepare and file with the SEC such amendments and supplements to such registration statement and the prospectus used in connection therewith as may be necessary to permit any such recipient Charitable Organization to sell in the underwritten offering if it so elects.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Officer Obligations</w:t>
      </w:r>
      <w:r>
        <w:rPr>
          <w:rFonts w:ascii="Times New Roman" w:hAnsi="Times New Roman"/>
          <w:sz w:val="20"/>
        </w:rPr>
        <w:t xml:space="preserve">. Each Holder that is an officer of the Company agrees that if and for so long as he or she is employed by the Company or any Subsidiary thereof, he or she will participate fully in the sale process in a manner customary for persons in like positions and consistent with his or her other duties with the Company, including the preparation of the registration statement and the preparation and presentation of any road shows.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Automatic Shelf Registration Statements</w:t>
      </w:r>
      <w:r>
        <w:rPr>
          <w:rFonts w:ascii="Times New Roman" w:hAnsi="Times New Roman"/>
          <w:sz w:val="20"/>
        </w:rPr>
        <w:t xml:space="preserve">. If the Company files any Automatic Shelf Registration Statement for the benefit of the holders of any of its securities other than the Holders, and the Sponsor Investors do not request that their Registrable Securities be included in such Shelf Registration Statement, the Company agrees that, at the request of the Sponsor Investors, it will include in such Automatic Shelf Registration Statement such disclosures as may be required by Rule 430B in order to ensure that the Sponsor Investors may be added to such Shelf Registration Statement at a later time through the filing of a prospectus supplement rather than a post-effective amendment. If the Company has filed any Automatic Shelf Registration Statement for the benefit of the holders of any of its securities other than the Holders, the Company shall, at the request of the Sponsor Investors, file any post-effective amendments necessary to include therein all disclosure and language necessary to ensure that the holders of Registrable Securities may be added to such Shelf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Information</w:t>
      </w:r>
      <w:r>
        <w:rPr>
          <w:rFonts w:ascii="Times New Roman" w:hAnsi="Times New Roman"/>
          <w:sz w:val="20"/>
        </w:rPr>
        <w:t xml:space="preserve">. The Company may require each seller of Registrable Securities as to which any registration is being effected to furnish the Company such information regarding such seller and the distribution of such securities as the Company may from time to time reasonably request in writing, as a condition to such seller’s participation in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In-Kind Distributions</w:t>
      </w:r>
      <w:r>
        <w:rPr>
          <w:rFonts w:ascii="Times New Roman" w:hAnsi="Times New Roman"/>
          <w:sz w:val="20"/>
        </w:rPr>
        <w:t xml:space="preserve">. If any Sponsor Investor (and/or any of their Affiliates) seeks to effectuate an in-kind distribution of all or part of their Registrable Securities to their respective direct or indirect equityholders, the Company will, subject to any applicable lock-ups, reasonably cooperate with and assist such stockholder, such equityholders and the Company’s transfer agent to facilitate such in-kind distribution in the manner reasonably requested by such stockholder (including the delivery of instruction letters by the Company or its counsel to the Company’s transfer agent, the delivery of customary legal opinions by counsel to the Company and the delivery of Common Equity without restrictive legends, to the extent no longer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Suspended Distributions</w:t>
      </w:r>
      <w:r>
        <w:rPr>
          <w:rFonts w:ascii="Times New Roman" w:hAnsi="Times New Roman"/>
          <w:sz w:val="20"/>
        </w:rPr>
        <w:t xml:space="preserve">. Each Person participating in a registration hereunder agrees that, upon receipt of any notice from the Company of the happening of any event of the kind described in </w:t>
      </w:r>
      <w:r>
        <w:rPr>
          <w:rFonts w:ascii="Times New Roman" w:hAnsi="Times New Roman"/>
          <w:sz w:val="20"/>
          <w:u w:val="single"/>
        </w:rPr>
        <w:t>Section 4(a)(vi)</w:t>
      </w:r>
      <w:r>
        <w:rPr>
          <w:rFonts w:ascii="Times New Roman" w:hAnsi="Times New Roman"/>
          <w:sz w:val="20"/>
        </w:rPr>
        <w:t xml:space="preserve">, such Person will immediately discontinue the disposition of its Registrable Securities pursuant to the registration statement until such Person’s receipt of the copies of a supplemented or amended prospectus as contemplated by </w:t>
      </w:r>
      <w:r>
        <w:rPr>
          <w:rFonts w:ascii="Times New Roman" w:hAnsi="Times New Roman"/>
          <w:sz w:val="20"/>
          <w:u w:val="single"/>
        </w:rPr>
        <w:t>Section 4(a)(vi)</w:t>
      </w:r>
      <w:r>
        <w:rPr>
          <w:rFonts w:ascii="Times New Roman" w:hAnsi="Times New Roman"/>
          <w:sz w:val="20"/>
        </w:rPr>
        <w:t xml:space="preserve">, subject to the Company’s compliance with its obligations under </w:t>
      </w:r>
      <w:r>
        <w:rPr>
          <w:rFonts w:ascii="Times New Roman" w:hAnsi="Times New Roman"/>
          <w:sz w:val="20"/>
          <w:u w:val="single"/>
        </w:rPr>
        <w:t>Section 4(a)(vi)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Registrable Securities Transactions</w:t>
      </w:r>
      <w:r>
        <w:rPr>
          <w:rFonts w:ascii="Times New Roman" w:hAnsi="Times New Roman"/>
          <w:sz w:val="20"/>
        </w:rPr>
        <w:t xml:space="preserve">. If requested by any Holder in connection with any transaction involving any Registrable Securities (including any sale or other transfer of such securities without registration under the Securities Act, any loan, advance, margin loan or extension of credit or similar financing activity or arrangement with respect to such Registrable Securities and any pledge, hypothecation or other grant of a security interest of such Registrable Securities), the Company agrees to provide such Holder with customary and reasonable assistance to facilitate such transaction, including, without limitation, (i) such action as such Holder may reasonably request from time to time to enable such Holder to sell Registrable Securities without registration under the Securities Act and (ii) entering into an “issuer’s agreement” in connection with any margin loan with respect to such securities in customary form.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Trading Window.</w:t>
      </w:r>
      <w:r>
        <w:rPr>
          <w:rFonts w:ascii="Times New Roman" w:hAnsi="Times New Roman"/>
          <w:sz w:val="20"/>
        </w:rPr>
        <w:t xml:space="preserve"> The Company shall (i) use its best efforts to notify the Sponsor Investors of each “closing” and “opening” date under the trading windows established by the Company’s insider trading policy, in each case, at least two Business Days prior to each such date and (ii), at the request of the Sponsor Investors, confirm to the Sponsor Investors whether a trading window is open at such time.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Sale Coordination.</w:t>
      </w:r>
      <w:r>
        <w:rPr>
          <w:rFonts w:ascii="Times New Roman" w:hAnsi="Times New Roman"/>
          <w:sz w:val="20"/>
        </w:rPr>
        <w:t xml:space="preserve"> Each Other Investor and each Executive agrees that, prior to effecting any sale or other disposition of Common Equity to the public pursuant to and in reliance on Rule 144 (or any similar rule then in effect) through a broker, dealer or market maker, in an unregistered block trade to a financial institution, in a privately negotiated transaction under “Section 4(a)(1)-1/2” of the Securities Act or in any other transaction in which such Holder transfers Common Equity, such Holder shall provide the Company and the Sponsor Investors with written notice of such intended sale or disposition at least five (5) Business Days prior to any such sale or disposition (which notice shall include the approximate number of Securities or Other Securities proposed to be sold and the anticipated timing and manner of sale). For the avoidance of doubt, this provision shall not restrict the ability of any Holder of Other Investor Registrable Securities or Executive Registrable Securities to sell Securities pursuant to Rule 144, subject to the volume limitations and other requirements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Spin-Off.</w:t>
      </w:r>
      <w:r>
        <w:rPr>
          <w:rFonts w:ascii="Times New Roman" w:hAnsi="Times New Roman"/>
          <w:sz w:val="20"/>
        </w:rPr>
        <w:t xml:space="preserve"> In the event that the Company effects the separation of any portion of its business into one or more entities (each, a “NewCo”), whether existing or newly formed, including without limitation by way of spin-off, split-off, carve-out, demerger, recapitalization, reorganization or similar transaction, and any Holder will receive equity interests in any such NewCo as part of such separation, the Company shall cause any such NewCo to enter into a registration rights agreement with each such Holder that provides each such Holder with registration rights vis-à-vis such NewCo that are substantially identical to those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Other</w:t>
      </w:r>
      <w:r>
        <w:rPr>
          <w:rFonts w:ascii="Times New Roman" w:hAnsi="Times New Roman"/>
          <w:sz w:val="20"/>
        </w:rPr>
        <w:t xml:space="preserve">. To the extent that any of the Participating Sponsor Investors is or may be deemed to be an “underwriter” of Registrable Securities pursuant to any SEC comments or policies, the Company agrees that (i) the indemnification and contribution provisions contained in </w:t>
      </w:r>
      <w:r>
        <w:rPr>
          <w:rFonts w:ascii="Times New Roman" w:hAnsi="Times New Roman"/>
          <w:sz w:val="20"/>
          <w:u w:val="single"/>
        </w:rPr>
        <w:t>Section 6</w:t>
      </w:r>
      <w:r>
        <w:rPr>
          <w:rFonts w:ascii="Times New Roman" w:hAnsi="Times New Roman"/>
          <w:sz w:val="20"/>
        </w:rPr>
        <w:t xml:space="preserve"> shall be applicable to the benefit of such Participating Sponsor Investor in their role as an underwriter or deemed underwriter in addition to their capacity as a holder and (ii) such Participating Sponsor Investor shall be entitled to conduct the due diligence which they would normally conduct in connection with an offering of securities registered under the Securities Act, including without limitation receipt of customary opinions and comfort letters addressed to such Participating Sponsor Investor.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expressly provided herein, all out-of-pocket expenses incurred by the Company or any Sponsor Investor in connection with the performance of or compliance with this Agreement and/or in connection with any sale, transfers, distributions or other disposition of Registrable Securities by any Sponsor Investor, including pursuant to a Demand Registration, Piggyback Registration or Shelf Offering, whether or not the same shall become effective, shall be paid by the Company, including, without limitation: (i) all registration and filing fees, and any other fees and expenses associated with filings required to be made with the SEC or FINRA, (ii) all fees and expenses in connection with compliance with any securities or “blue sky” laws, (iii) all expenses associated with filings required to be made with the SEC by any Sponsor Investors reporting a change in beneficial ownership, (iv) all printing, duplicating, word processing, messenger, telephone, facsimile and delivery expenses (including expenses of printing certificates for the Registrable Securities in a form eligible for deposit with The Depository Trust Company or other depositary and of printing prospectuses and Free Writing Prospectuses), (v) all fees and disbursements of all independent certified public accountants of the Company (including the expenses of any special audit and cold comfort letters required by or incident to such performance), (vi) Securities Act liability insurance or similar insurance if the Company so desires or the underwriters so require in accordance with then-customary underwriting practice, (vii) all fees and expenses incurred in connection with the listing of the Registrable Securities on any securities exchange on which similar securities of the Company are then listed (or on which exchange the Registrable Securities are proposed to be listed in the case of the initial Public Offering), (viii) all applicable rating agency fees with respect to the Registrable Securities, (ix) all fees and disbursements of legal counsel for the Company, (x) all reasonable fees and disbursements of one legal counsel for selling Holders selected by the Sponsor Investors (which may be the same counsel as selected for the Company) together with any necessary local counsel as may be required by the Sponsor Investors, (xi) any fees and disbursements of underwriters customarily paid by issuers or sellers of securities, (xii) all fees and expenses of any special experts or other Persons retained by the Company or the Sponsor Investors in connection with any Demand Registration, Piggyback Registration or Shelf Offering, (xiii) all of the Company’s internal expenses (including all salaries and expenses of its officers and employees performing legal or accounting duties) and (xiv) all expenses related to the “road-show” for any underwritten offering, including all travel, meals and lodging. All such expenses are referred to herein as “</w:t>
      </w:r>
      <w:r>
        <w:rPr>
          <w:rFonts w:ascii="Times New Roman" w:hAnsi="Times New Roman"/>
          <w:sz w:val="20"/>
          <w:u w:val="single"/>
        </w:rPr>
        <w:t>Expenses</w:t>
      </w:r>
      <w:r>
        <w:rPr>
          <w:rFonts w:ascii="Times New Roman" w:hAnsi="Times New Roman"/>
          <w:sz w:val="20"/>
        </w:rPr>
        <w:t xml:space="preserve">.” The Company shall not be required to pay, and each Person that sells securities pursuant to a Demand Registration, Shelf Offering or Piggyback Registration hereunder will bear and pay, all underwriting discounts and commissions applicable to the Registrable Securities sold for such Person’s account and all transfer taxes (if any) attributable to the sale of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By the Company</w:t>
      </w:r>
      <w:r>
        <w:rPr>
          <w:rFonts w:ascii="Times New Roman" w:hAnsi="Times New Roman"/>
          <w:sz w:val="20"/>
        </w:rPr>
        <w:t>. The Company will indemnify and hold harmless, to the fullest extent permitted by law and without limitation as to time, each Holder, such Holder’s officers, directors, employees, agents, fiduciaries, stockholders, managers, partners, members, Affiliates, direct and indirect equityholders, consultants and representatives, and any successors and assigns thereof, and each Person who controls such holder (within the meaning of the Securities Act) (the “</w:t>
      </w:r>
      <w:r>
        <w:rPr>
          <w:rFonts w:ascii="Times New Roman" w:hAnsi="Times New Roman"/>
          <w:sz w:val="20"/>
          <w:u w:val="single"/>
        </w:rPr>
        <w:t>Indemnified Parties</w:t>
      </w:r>
      <w:r>
        <w:rPr>
          <w:rFonts w:ascii="Times New Roman" w:hAnsi="Times New Roman"/>
          <w:sz w:val="20"/>
        </w:rPr>
        <w:t>”) against all losses, claims, actions, damages, liabilities and expenses (including with respect to actions or proceedings, whether commenced or threatened, and including reasonable attorney fees and expenses) (collectively, “</w:t>
      </w:r>
      <w:r>
        <w:rPr>
          <w:rFonts w:ascii="Times New Roman" w:hAnsi="Times New Roman"/>
          <w:sz w:val="20"/>
          <w:u w:val="single"/>
        </w:rPr>
        <w:t>Losses</w:t>
      </w:r>
      <w:r>
        <w:rPr>
          <w:rFonts w:ascii="Times New Roman" w:hAnsi="Times New Roman"/>
          <w:sz w:val="20"/>
        </w:rPr>
        <w:t>”) caused by, resulting from, arising out of, based upon or related to any of the following (each, a “</w:t>
      </w:r>
      <w:r>
        <w:rPr>
          <w:rFonts w:ascii="Times New Roman" w:hAnsi="Times New Roman"/>
          <w:sz w:val="20"/>
          <w:u w:val="single"/>
        </w:rPr>
        <w:t>Violation</w:t>
      </w:r>
      <w:r>
        <w:rPr>
          <w:rFonts w:ascii="Times New Roman" w:hAnsi="Times New Roman"/>
          <w:sz w:val="20"/>
        </w:rPr>
        <w:t xml:space="preserve">”) by the Company: (i) any untrue or alleged untrue statement of material fact contained in (A) any registration statement, prospectus, preliminary prospectus or Free Writing Prospectus, or any amendment thereof or supplement thereto or (B) any application or other document or communication (in this </w:t>
      </w:r>
      <w:r>
        <w:rPr>
          <w:rFonts w:ascii="Times New Roman" w:hAnsi="Times New Roman"/>
          <w:sz w:val="20"/>
          <w:u w:val="single"/>
        </w:rPr>
        <w:t>Section 6</w:t>
      </w:r>
      <w:r>
        <w:rPr>
          <w:rFonts w:ascii="Times New Roman" w:hAnsi="Times New Roman"/>
          <w:sz w:val="20"/>
        </w:rPr>
        <w:t>, collectively called an “</w:t>
      </w:r>
      <w:r>
        <w:rPr>
          <w:rFonts w:ascii="Times New Roman" w:hAnsi="Times New Roman"/>
          <w:sz w:val="20"/>
          <w:u w:val="single"/>
        </w:rPr>
        <w:t>application</w:t>
      </w:r>
      <w:r>
        <w:rPr>
          <w:rFonts w:ascii="Times New Roman" w:hAnsi="Times New Roman"/>
          <w:sz w:val="20"/>
        </w:rPr>
        <w:t xml:space="preserve">”) executed by or on behalf of the Company or based upon written information furnished by or on behalf of the Company filed in any jurisdiction in order to qualify any securities covered by such registration under the “blue sky” or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Indemnified Party for any legal or any other expenses reasonably incurred by them in connection with investigating or defending any such Losses. Notwithstanding the foregoing, the Company will not be liable in any such case to the extent that any such Losses result from, arise out of, are based upon, or relate to an untrue statement, or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such Indemnified Party expressly for use therein or by such Indemnified Party’s failure to deliver a copy of the registration statement or prospectus or any amendments or supplements thereto after the Company has furnished such Indemnified Party with a sufficient number of copies of the same.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Indemnified Parties or as otherwise agreed to in the underwriting agreement executed in connection with such underwritten offering. Such indemnity and reimbursement of expenses shall remain in full force and effect regardless of any investigation made by or on behalf of such Indemnified Party and shall survive the transfer of such securities by such seller.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By Holders</w:t>
      </w:r>
      <w:r>
        <w:rPr>
          <w:rFonts w:ascii="Times New Roman" w:hAnsi="Times New Roman"/>
          <w:sz w:val="20"/>
        </w:rPr>
        <w:t xml:space="preserve">. In connection with any registration statement in which a Holder is participating, each such Holder will furnish to the Company in writing such information and affidavits as the Company reasonably requests for use in connection with any such registration statement or prospectus and, to the extent permitted by law, will indemnify the Company, its officers, directors, employees, agents and representatives, and each Person who controls the Company (within the meaning of the Securities Act) against any Losses resulting from (as determined by a final and non-appealable judgment, order or decree of a court of competent jurisdiction)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hAnsi="Times New Roman"/>
          <w:sz w:val="20"/>
          <w:u w:val="single"/>
        </w:rPr>
        <w:t>provided</w:t>
      </w:r>
      <w:r>
        <w:rPr>
          <w:rFonts w:ascii="Times New Roman" w:hAnsi="Times New Roman"/>
          <w:sz w:val="20"/>
        </w:rPr>
        <w:t xml:space="preserve"> that the obligation to indemnify will be individual, not joint and several, for each Holder and will be limited to the net amount of proceeds received by such Holder from the sale of Registrable Securities pursuant to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Claim Procedure</w:t>
      </w:r>
      <w:r>
        <w:rPr>
          <w:rFonts w:ascii="Times New Roman" w:hAnsi="Times New Roman"/>
          <w:sz w:val="20"/>
        </w:rPr>
        <w:t>. Any Person entitled to indemnification hereunder will (i) give prompt written notice to the indemnifying party of any claim with respect to which it seeks indemnification (</w:t>
      </w:r>
      <w:r>
        <w:rPr>
          <w:rFonts w:ascii="Times New Roman" w:hAnsi="Times New Roman"/>
          <w:sz w:val="20"/>
          <w:u w:val="single"/>
        </w:rPr>
        <w:t>provided</w:t>
      </w:r>
      <w:r>
        <w:rPr>
          <w:rFonts w:ascii="Times New Roman" w:hAnsi="Times New Roman"/>
          <w:sz w:val="20"/>
        </w:rPr>
        <w:t xml:space="preserve"> that the failure to give prompt notice will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will have a right to retain one separate counsel, chosen by the majority of the conflicted indemnified parties involved in the indemnification and approved by the Sponsor Investors, at the expense of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Section 6</w:t>
      </w:r>
      <w:r>
        <w:rPr>
          <w:rFonts w:ascii="Times New Roman" w:hAnsi="Times New Roman"/>
          <w:sz w:val="20"/>
        </w:rPr>
        <w:t xml:space="preserve"> is held by a court of competent jurisdiction to be unavailable to, or is insufficient to hold harmless, an indemnified party or is otherwise unenforceable with respect to any Loss referred to herein, then such indemnifying party will contribute to the amounts paid or payable by such indemnified party as a result of such Loss, (i) in such proportion as is appropriate to reflect the relative fault of the indemnifying party on the one hand and of the indemnified party on the other hand in connection with the statements or omissions which resulted in such Loss as well as any other relevant equitable considerations or (ii) if the allocation provided by clause (i) of this </w:t>
      </w:r>
      <w:r>
        <w:rPr>
          <w:rFonts w:ascii="Times New Roman" w:hAnsi="Times New Roman"/>
          <w:sz w:val="20"/>
          <w:u w:val="single"/>
        </w:rPr>
        <w:t>Section 6(d)</w:t>
      </w:r>
      <w:r>
        <w:rPr>
          <w:rFonts w:ascii="Times New Roman" w:hAnsi="Times New Roman"/>
          <w:sz w:val="20"/>
        </w:rPr>
        <w:t xml:space="preserve"> is not permitted by applicable law, then in such proportion as is appropriate to reflect not only such relative fault but also the relative benefit of the Company on the one hand and of the sellers of Registrable Securities and any other sellers participating in the registration statement on the other in connection with the statement or omissions which resulted in such Losses, as well as any other relevant equitable considerations; </w:t>
      </w:r>
      <w:r>
        <w:rPr>
          <w:rFonts w:ascii="Times New Roman" w:hAnsi="Times New Roman"/>
          <w:sz w:val="20"/>
          <w:u w:val="single"/>
        </w:rPr>
        <w:t>provided</w:t>
      </w:r>
      <w:r>
        <w:rPr>
          <w:rFonts w:ascii="Times New Roman" w:hAnsi="Times New Roman"/>
          <w:sz w:val="20"/>
        </w:rPr>
        <w:t xml:space="preserve"> that the maximum amount of liability in respect of such contribution will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will be determined by reference to, among other things, whether the untrue (or, as applicable,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 w:hAnsi="Times New Roman"/>
          <w:sz w:val="20"/>
          <w:u w:val="single"/>
        </w:rPr>
        <w:t>Section 6(d)</w:t>
      </w:r>
      <w:r>
        <w:rPr>
          <w:rFonts w:ascii="Times New Roman" w:hAnsi="Times New Roman"/>
          <w:sz w:val="20"/>
        </w:rPr>
        <w:t xml:space="preserve"> were to be determined by pro rata allocation or by any other method of allocation that does not take into account such equitable considerations. The amount paid or payable by an indemnified party as a result of the Losses referred to herein will be deemed to include any legal or other expenses reasonably incurred by such indemnified party in connection with investigating or defending against any action or claim which is the subject hereof. No person guilty of fraudulent misrepresentation (within the meaning of </w:t>
      </w:r>
      <w:r>
        <w:rPr>
          <w:rFonts w:ascii="Times New Roman" w:hAnsi="Times New Roman"/>
          <w:sz w:val="20"/>
          <w:u w:val="single"/>
        </w:rPr>
        <w:t>Section 11(f)</w:t>
      </w:r>
      <w:r>
        <w:rPr>
          <w:rFonts w:ascii="Times New Roman" w:hAnsi="Times New Roman"/>
          <w:sz w:val="20"/>
        </w:rPr>
        <w:t xml:space="preserve"> of the Securities Act) will be entitled to contribution from any Person who is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Release</w:t>
      </w:r>
      <w:r>
        <w:rPr>
          <w:rFonts w:ascii="Times New Roman" w:hAnsi="Times New Roman"/>
          <w:sz w:val="20"/>
        </w:rPr>
        <w:t xml:space="preserve">. No indemnifying party will,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Non-exclusive Remedy; Survival</w:t>
      </w:r>
      <w:r>
        <w:rPr>
          <w:rFonts w:ascii="Times New Roman" w:hAnsi="Times New Roman"/>
          <w:sz w:val="20"/>
        </w:rPr>
        <w:t xml:space="preserve">. 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w:t>
      </w:r>
      <w:r>
        <w:rPr>
          <w:rFonts w:ascii="Times New Roman" w:hAnsi="Times New Roman"/>
          <w:sz w:val="20"/>
          <w:u w:val="single"/>
        </w:rPr>
        <w:t>Section 6</w:t>
      </w:r>
      <w:r>
        <w:rPr>
          <w:rFonts w:ascii="Times New Roman" w:hAnsi="Times New Roman"/>
          <w:sz w:val="20"/>
        </w:rPr>
        <w:t xml:space="preserve"> applies) and will remain in full force and effect regardless of any investigation made by or on behalf of the indemnified party or any officer, director or controlling Person of such indemnified party and will survive the transfer of Registrable Securities and the termination or expiration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Cooperation with Underwritten Offerings</w:t>
      </w:r>
      <w:r>
        <w:rPr>
          <w:rFonts w:ascii="Times New Roman" w:hAnsi="Times New Roman"/>
          <w:sz w:val="20"/>
        </w:rPr>
        <w:t xml:space="preserve">. No Person may participate in any underwritten registration hereunder unless such Person (i) agrees to sell such Person’s securities on the basis provided in any underwriting arrangements approved by the Person or Persons entitled hereunder to approve such arrangements (including, without limitation, pursuant to the terms of any over-allotment or “green shoe” option requested by the underwriters; </w:t>
      </w:r>
      <w:r>
        <w:rPr>
          <w:rFonts w:ascii="Times New Roman" w:hAnsi="Times New Roman"/>
          <w:sz w:val="20"/>
          <w:u w:val="single"/>
        </w:rPr>
        <w:t>provided</w:t>
      </w:r>
      <w:r>
        <w:rPr>
          <w:rFonts w:ascii="Times New Roman" w:hAnsi="Times New Roman"/>
          <w:sz w:val="20"/>
        </w:rPr>
        <w:t xml:space="preserve"> that no Holder will be required to sell more than the number of Registrable Securities such Holder has requested to include in such registration) and (ii) completes, executes and delivers all questionnaires, powers of attorney, stock powers, custody agreements, indemnities, underwriting agreements and other documents and agreements required under the terms of such underwriting arrangements or as may be reasonably requested by the Company and the lead managing underwriter(s). To the extent that any such agreement is entered into pursuant to, and consistent with, </w:t>
      </w: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Section 4</w:t>
      </w:r>
      <w:r>
        <w:rPr>
          <w:rFonts w:ascii="Times New Roman" w:hAnsi="Times New Roman"/>
          <w:sz w:val="20"/>
        </w:rPr>
        <w:t xml:space="preserve"> and/or this</w:t>
      </w:r>
      <w:r>
        <w:rPr>
          <w:rFonts w:ascii="Times New Roman" w:hAnsi="Times New Roman"/>
          <w:sz w:val="20"/>
          <w:u w:val="single"/>
        </w:rPr>
        <w:t xml:space="preserve"> Section 7</w:t>
      </w:r>
      <w:r>
        <w:rPr>
          <w:rFonts w:ascii="Times New Roman" w:hAnsi="Times New Roman"/>
          <w:sz w:val="20"/>
        </w:rPr>
        <w:t xml:space="preserve">, the respective rights and obligations created under such agreement will supersede the respective rights and obligations of the Holders, the Company and the underwriters created thereby with respect to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Subsidiary Public Offering.</w:t>
      </w:r>
      <w:r>
        <w:rPr>
          <w:rFonts w:ascii="Times New Roman" w:hAnsi="Times New Roman"/>
          <w:sz w:val="20"/>
        </w:rPr>
        <w:t xml:space="preserve"> If, after an initial Public Offering of the common equity securities of one of its Subsidiaries, the Company distributes securities of such Subsidiary to its equityholders, then the rights and obligations of the Company pursuant to this Agreement will apply, </w:t>
      </w:r>
      <w:r>
        <w:rPr>
          <w:rFonts w:ascii="Times New Roman" w:hAnsi="Times New Roman"/>
          <w:i/>
          <w:sz w:val="20"/>
        </w:rPr>
        <w:t>mutatis mutandis</w:t>
      </w:r>
      <w:r>
        <w:rPr>
          <w:rFonts w:ascii="Times New Roman" w:hAnsi="Times New Roman"/>
          <w:sz w:val="20"/>
        </w:rPr>
        <w:t xml:space="preserve">, to such Subsidiary, and the Company will cause such Subsidiary to comply with such Subsidiary’s obligations under this Agreement as if it were the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Joinder</w:t>
      </w:r>
      <w:r>
        <w:rPr>
          <w:rFonts w:ascii="Times New Roman" w:hAnsi="Times New Roman"/>
          <w:sz w:val="20"/>
        </w:rPr>
        <w:t xml:space="preserve">. The Company may from time to time (with the prior written consent of the Sponsor Investors) permit any Person who acquires Common Equity (or rights to acquire Common Equity) to become a party to this Agreement and to be entitled to and be bound by all of the rights and obligations as a Holder by obtaining an executed joinder to this Agreement from such Person in the form of </w:t>
      </w:r>
      <w:r>
        <w:rPr>
          <w:rFonts w:ascii="Times New Roman" w:hAnsi="Times New Roman"/>
          <w:sz w:val="20"/>
          <w:u w:val="single"/>
        </w:rPr>
        <w:t>Exhibit B</w:t>
      </w:r>
      <w:r>
        <w:rPr>
          <w:rFonts w:ascii="Times New Roman" w:hAnsi="Times New Roman"/>
          <w:sz w:val="20"/>
        </w:rPr>
        <w:t xml:space="preserve"> attached hereto (a “Joinder”). Upon the execution and delivery of a Joinder by such Person, the Common Equity held by such Person shall become the category of Registrable Securities (i.e. Sponsor Investor Registrable Securities, Other Investor Registrable Securities or Executive Registrable Securities), and such Person shall be deemed the category of Holder (i.e. Sponsor Investor, Other Investor or Executive), in each case as set forth on the signature page to such Joinder.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and Waivers</w:t>
      </w:r>
      <w:r>
        <w:rPr>
          <w:rFonts w:ascii="Times New Roman" w:hAnsi="Times New Roman"/>
          <w:sz w:val="20"/>
        </w:rPr>
        <w:t xml:space="preserve">. Except as otherwise provided herein, the provisions of this Agreement may be amended, modified or waived only with the prior written consent of the Company and the Sponsor Investors who are then Holders; provided that no such amendment, modification or waiver that would treat a specific Holder or group of Holders of Registrable Securities (i.e., Sponsor Investors, Other Investors or Executives) in a manner materially and adversely different than any other Holder or group of Holders will be effective against such Holder or group of Holders without the consent of the holders of a majority of the Registrable Securities that are held by the group of Holders that is materially and adversely affected thereby. The failure or delay of any Person to enforce any of the provisions of this Agreement will in no way be construed as a waiver of such provisions and will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will not be deemed to be a consent or waiver to or of any other breach or default in the performance by that Person of the same or any other obligations of that Person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Remedies</w:t>
      </w:r>
      <w:r>
        <w:rPr>
          <w:rFonts w:ascii="Times New Roman" w:hAnsi="Times New Roman"/>
          <w:sz w:val="20"/>
        </w:rPr>
        <w:t xml:space="preserve">. The parties to this Agreement will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will be entitled to specific performance and/or other injunctive relief from any court of law or equity of competent jurisdiction (without posting any bond or other security) in order to enforce or prevent violation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Entire Agreement</w:t>
      </w:r>
      <w:r>
        <w:rPr>
          <w:rFonts w:ascii="Times New Roman" w:hAnsi="Times New Roman"/>
          <w:sz w:val="20"/>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 (including, without limitation, Amended and Restated Limited Liability Company Agreement, dated as of December 20, 2021 (the “</w:t>
      </w:r>
      <w:r>
        <w:rPr>
          <w:rFonts w:ascii="Times New Roman" w:hAnsi="Times New Roman"/>
          <w:sz w:val="20"/>
          <w:u w:val="single"/>
        </w:rPr>
        <w:t>ITG Parent LLC Agreement</w:t>
      </w:r>
      <w:r>
        <w:rPr>
          <w:rFonts w:ascii="Times New Roman" w:hAnsi="Times New Roman"/>
          <w:sz w:val="20"/>
        </w:rPr>
        <w:t xml:space="preserve">”) by and among ITG Parent, LLC and the Initial Members listed on Schedule A thereto, and the other documents referred to therein).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Successors and Assigns</w:t>
      </w:r>
      <w:r>
        <w:rPr>
          <w:rFonts w:ascii="Times New Roman" w:hAnsi="Times New Roman"/>
          <w:sz w:val="20"/>
        </w:rPr>
        <w:t xml:space="preserve">. Except as otherwise provided herein, this Agreement will bind and inure to the benefit and be enforceable by the Company and its successors and permitted assigns. Each of the Sponsor Investors may assign its rights hereunder to its Affiliates; provided that such purchaser or transferee shall, as a condition to the effectiveness of such assignment, be required to cause such prospective transferee to execute and deliver to the Company a Joinder. Except as otherwise provided herein, the rights under this Agreement are personal to the Holders and are not assignable without the prior written consent of each of the Company and the Sponsor Investors.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Any notice, demand or other communication to be given under or by reason of the provisions of this Agreement will be in writing and will be deemed to have been given (i) when delivered personally to the recipient, (ii) when sent by confirmed electronic mail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to the Company at the address specified on the signature page hereto or any Joinder and to any holder,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 </w:t>
      </w:r>
    </w:p>
    <w:p>
      <w:pPr>
        <w:pStyle w:val="TextBody"/>
        <w:bidi w:val="0"/>
        <w:spacing w:before="120" w:after="0"/>
        <w:jc w:val="left"/>
        <w:rPr>
          <w:rFonts w:ascii="Times New Roman" w:hAnsi="Times New Roman"/>
          <w:b/>
          <w:sz w:val="20"/>
        </w:rPr>
      </w:pPr>
      <w:r>
        <w:rPr>
          <w:rFonts w:ascii="Times New Roman" w:hAnsi="Times New Roman"/>
          <w:b/>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2400 E. Commercial Blvd Ste 1000 </w:t>
      </w:r>
    </w:p>
    <w:p>
      <w:pPr>
        <w:pStyle w:val="TextBody"/>
        <w:bidi w:val="0"/>
        <w:spacing w:before="0" w:after="0"/>
        <w:jc w:val="left"/>
        <w:rPr>
          <w:rFonts w:ascii="Times New Roman" w:hAnsi="Times New Roman"/>
          <w:sz w:val="20"/>
        </w:rPr>
      </w:pPr>
      <w:r>
        <w:rPr>
          <w:rFonts w:ascii="Times New Roman" w:hAnsi="Times New Roman"/>
          <w:sz w:val="20"/>
        </w:rPr>
        <w:t xml:space="preserve">Fort Lauderdale, Florida 33308 </w:t>
      </w:r>
    </w:p>
    <w:p>
      <w:pPr>
        <w:pStyle w:val="TextBody"/>
        <w:bidi w:val="0"/>
        <w:spacing w:before="0" w:after="0"/>
        <w:jc w:val="left"/>
        <w:rPr>
          <w:rFonts w:ascii="Times New Roman" w:hAnsi="Times New Roman"/>
          <w:sz w:val="20"/>
        </w:rPr>
      </w:pPr>
      <w:r>
        <w:rPr>
          <w:rFonts w:ascii="Times New Roman" w:hAnsi="Times New Roman"/>
          <w:sz w:val="20"/>
        </w:rPr>
        <w:t xml:space="preserve">Attn: Andy Parrott, Mike Brooks, Chris Mecray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With a copy 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Kirkland</w:t>
      </w:r>
      <w:r>
        <w:rPr>
          <w:rFonts w:ascii="Times New Roman" w:hAnsi="Times New Roman"/>
          <w:sz w:val="20"/>
        </w:rPr>
        <w:t> </w:t>
      </w:r>
      <w:r>
        <w:rPr>
          <w:rFonts w:ascii="Times New Roman" w:hAnsi="Times New Roman"/>
          <w:b/>
          <w:sz w:val="20"/>
        </w:rPr>
        <w:t>&amp; Ellis LLP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rFonts w:ascii="Times New Roman" w:hAnsi="Times New Roman"/>
          <w:sz w:val="20"/>
        </w:rPr>
      </w:pPr>
      <w:r>
        <w:rPr>
          <w:rFonts w:ascii="Times New Roman" w:hAnsi="Times New Roman"/>
          <w:sz w:val="20"/>
        </w:rPr>
        <w:t xml:space="preserve">Attn: Joshua N. Korff, P.C., Michael Kim, P.C.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to the attention of such other person as the recipient party has specified by prior written notice to the sending party.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Business Days</w:t>
      </w:r>
      <w:r>
        <w:rPr>
          <w:rFonts w:ascii="Times New Roman" w:hAnsi="Times New Roman"/>
          <w:sz w:val="20"/>
        </w:rPr>
        <w:t xml:space="preserve">. If any time period for giving notice or taking action hereunder expires on a day that is not a Business Day, the time period will automatically be extended to the Business Day immediately following such Saturday, Sunday or legal holiday.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Governing Law</w:t>
      </w:r>
      <w:r>
        <w:rPr>
          <w:rFonts w:ascii="Times New Roman" w:hAnsi="Times New Roman"/>
          <w:sz w:val="20"/>
        </w:rPr>
        <w:t xml:space="preserve">. The corporate law of the State of Delaware will govern all issues and questions concerning the relative rights of the Company and its equityholders. All other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In furtherance of the foregoing, the internal law of the State of Delaware will control the interpretation and construction of this Agreement (and all schedules and exhibits hereto), even though under that jurisdiction’s choice of law or conflict of law analysis, the substantive law of some other jurisdiction would ordinarily apply.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MUTUAL WAIVER OF JURY TRIAL</w:t>
      </w:r>
      <w:r>
        <w:rPr>
          <w:rFonts w:ascii="Times New Roman" w:hAnsi="Times New Roman"/>
          <w:sz w:val="20"/>
        </w:rPr>
        <w:t xml:space="preserve">.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CONSENT TO JURISDICTION AND SERVICE OF PROCESS</w:t>
      </w:r>
      <w:r>
        <w:rPr>
          <w:rFonts w:ascii="Times New Roman" w:hAnsi="Times New Roman"/>
          <w:sz w:val="20"/>
        </w:rPr>
        <w:t xml:space="preserve">. EACH OF THE PARTIES IRREVOCABLY SUBMITS TO THE EXCLUSIVE JURISDICTION OF (I) THE UNITED STATES DISTRICT COURT FOR THE DISTRICT OF DELAWARE AND (II) THE COURT OF CHANCERY OF THE STATE OF DELAWARE,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WILL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 IN THE UNITED STATES DISTRICT COURT FOR THE DISTRICT OF DELAWARE OR (II) THE COURT OF CHANCERY OF THE STATE OF DELAWARE, AND HEREBY AND THEREBY FURTHER IRREVOCABLY AND UNCONDITIONALLY WAIVES AND AGREES NOT TO PLEAD OR CLAIM IN ANY SUCH COURT THAT ANY SUCH ACTION, SUIT OR PROCEEDING BROUGHT IN ANY SUCH COURT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BROUGHT IN AN INCONVENIENT FORUM. EACH OF THE PARTIES HERETO AGREES THAT A FINAL AND UNAPPEALABLE JUDGMENT IN ANY ACTION OR PROCEEDING SO BROUGHT SHALL BE CONCLUSIVE AND MAY BE ENFORCED BY SUIT ON THE JUDGMENT IN ANY JURISDICTION WITHIN OR OUTSIDE THE UNITED STATES OR IN ANY OTHER MANNER PROVIDED IN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Recourse</w:t>
      </w:r>
      <w:r>
        <w:rPr>
          <w:rFonts w:ascii="Times New Roman" w:hAnsi="Times New Roman"/>
          <w:sz w:val="20"/>
        </w:rPr>
        <w:t xml:space="preserve">. Notwithstanding anything to the contrary in this Agreement, the Company and each Holder agrees and acknowledges that no recourse under this Agreement or any documents or instruments delivered in connection with this Agreement, will be had against any current or future director, officer, employee, general or limited partner or member of any 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Descriptive Headings; Interpretation</w:t>
      </w:r>
      <w:r>
        <w:rPr>
          <w:rFonts w:ascii="Times New Roman" w:hAnsi="Times New Roman"/>
          <w:sz w:val="20"/>
        </w:rPr>
        <w:t xml:space="preserve">. The descriptive headings of this Agreement are inserted for convenience only and do not constitute a part of this Agreement. The use of the word “including” in this Agreement will be by way of example rather than by limitation.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Strict Construction</w:t>
      </w:r>
      <w:r>
        <w:rPr>
          <w:rFonts w:ascii="Times New Roman" w:hAnsi="Times New Roman"/>
          <w:sz w:val="20"/>
        </w:rPr>
        <w:t xml:space="preserve">. The language used in this Agreement will be deemed to be the language chosen by the parties hereto to express their mutual intent, and no rule of strict construction will be applied against any party.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Counterparts</w:t>
      </w:r>
      <w:r>
        <w:rPr>
          <w:rFonts w:ascii="Times New Roman" w:hAnsi="Times New Roman"/>
          <w:sz w:val="20"/>
        </w:rPr>
        <w:t xml:space="preserve">. This Agreement may be executed in multiple counterparts, any one of which need not contain the signature of more than one party, but all such counterparts taken together will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Electronic Delivery</w:t>
      </w:r>
      <w:r>
        <w:rPr>
          <w:rFonts w:ascii="Times New Roman" w:hAnsi="Times New Roman"/>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Further Assurances</w:t>
      </w:r>
      <w:r>
        <w:rPr>
          <w:rFonts w:ascii="Times New Roman" w:hAnsi="Times New Roman"/>
          <w:sz w:val="20"/>
        </w:rPr>
        <w:t xml:space="preserve">. In connection with this Agreement and the transactions contemplated hereby, each Holder agrees to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Dividends, Recapitalizations, etc.</w:t>
      </w:r>
      <w:r>
        <w:rPr>
          <w:rFonts w:ascii="Times New Roman" w:hAnsi="Times New Roman"/>
          <w:sz w:val="20"/>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No Third-Party Beneficiaries</w:t>
      </w:r>
      <w:r>
        <w:rPr>
          <w:rFonts w:ascii="Times New Roman" w:hAnsi="Times New Roman"/>
          <w:sz w:val="20"/>
        </w:rPr>
        <w:t xml:space="preserve">. No term or provision of this Agreement is intended to be, or shall be, for the benefit of any Person not a party hereto, and no such other Person shall have any right or cause of action hereunder, except as otherwise expressly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Current Public Information.</w:t>
      </w:r>
      <w:r>
        <w:rPr>
          <w:rFonts w:ascii="Times New Roman" w:hAnsi="Times New Roman"/>
          <w:sz w:val="20"/>
        </w:rPr>
        <w:t xml:space="preserve"> At all times after the Company has filed a registration statement with the SEC pursuant to the requirements of either the Securities Act or the Exchange Act, the Company will file all reports required to be filed by it under the Securities Act and the Exchange Act and will take such further action as the Sponsor Investors may reasonably request, all to the extent required to enable such Holders to sell Registrable Securities pursuant to Rule 144.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Andrew D. Parrott</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Andrew D. Parrott</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7"/>
        <w:gridCol w:w="60"/>
        <w:gridCol w:w="3135"/>
      </w:tblGrid>
      <w:tr>
        <w:trPr/>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SPONSOR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ITG AGGREGATOR, LLC</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35" w:type="dxa"/>
            <w:tcBorders>
              <w:bottom w:val="single" w:sz="2" w:space="0" w:color="000000"/>
            </w:tcBorders>
            <w:tcMar>
              <w:bottom w:w="28" w:type="dxa"/>
            </w:tcMar>
          </w:tcPr>
          <w:p>
            <w:pPr>
              <w:pStyle w:val="TableContents"/>
              <w:bidi w:val="0"/>
              <w:spacing w:before="0" w:after="283"/>
              <w:jc w:val="left"/>
              <w:rPr/>
            </w:pPr>
            <w:r>
              <w:rPr/>
              <w:t>/s/ James S. Lee</w:t>
            </w:r>
          </w:p>
        </w:tc>
      </w:tr>
      <w:tr>
        <w:trPr/>
        <w:tc>
          <w:tcPr>
            <w:tcW w:w="8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James S. Lee</w:t>
            </w:r>
          </w:p>
        </w:tc>
      </w:tr>
      <w:tr>
        <w:trPr/>
        <w:tc>
          <w:tcPr>
            <w:tcW w:w="8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Authorized Signatory</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 Wu</w:t>
            </w:r>
          </w:p>
        </w:tc>
      </w:tr>
      <w:tr>
        <w:trPr/>
        <w:tc>
          <w:tcPr>
            <w:tcW w:w="8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Robert L. Wu</w:t>
            </w:r>
          </w:p>
        </w:tc>
      </w:tr>
      <w:tr>
        <w:trPr/>
        <w:tc>
          <w:tcPr>
            <w:tcW w:w="8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Authorized Signatory</w:t>
            </w:r>
          </w:p>
        </w:tc>
      </w:tr>
      <w:tr>
        <w:trPr/>
        <w:tc>
          <w:tcPr>
            <w:tcW w:w="887"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11611 San Vicente Boulevard, Suite 700</w:t>
            </w:r>
          </w:p>
          <w:p>
            <w:pPr>
              <w:pStyle w:val="TableContents"/>
              <w:bidi w:val="0"/>
              <w:spacing w:before="0" w:after="20"/>
              <w:jc w:val="left"/>
              <w:rPr>
                <w:rFonts w:ascii="Times New Roman" w:hAnsi="Times New Roman"/>
                <w:sz w:val="20"/>
              </w:rPr>
            </w:pPr>
            <w:r>
              <w:rPr>
                <w:rFonts w:ascii="Times New Roman" w:hAnsi="Times New Roman"/>
                <w:sz w:val="20"/>
              </w:rPr>
              <w:t>Los Angeles, California 90049</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7"/>
        <w:gridCol w:w="60"/>
        <w:gridCol w:w="3135"/>
      </w:tblGrid>
      <w:tr>
        <w:trPr/>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POWER VI AIV HOLDINGS (DELAWARE), L.P.</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Oaktree Fund GP, LLC</w:t>
            </w:r>
          </w:p>
        </w:tc>
      </w:tr>
      <w:tr>
        <w:trPr/>
        <w:tc>
          <w:tcPr>
            <w:tcW w:w="887"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General Partner</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Oaktree Fund GP I, L.P.</w:t>
            </w:r>
          </w:p>
        </w:tc>
      </w:tr>
      <w:tr>
        <w:trPr/>
        <w:tc>
          <w:tcPr>
            <w:tcW w:w="887"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Managing Member</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35" w:type="dxa"/>
            <w:tcBorders>
              <w:bottom w:val="single" w:sz="2" w:space="0" w:color="000000"/>
            </w:tcBorders>
            <w:tcMar>
              <w:bottom w:w="28" w:type="dxa"/>
            </w:tcMar>
          </w:tcPr>
          <w:p>
            <w:pPr>
              <w:pStyle w:val="TableContents"/>
              <w:bidi w:val="0"/>
              <w:spacing w:before="0" w:after="283"/>
              <w:jc w:val="left"/>
              <w:rPr/>
            </w:pPr>
            <w:r>
              <w:rPr/>
              <w:t>/s/ James S. Lee</w:t>
            </w:r>
          </w:p>
        </w:tc>
      </w:tr>
      <w:tr>
        <w:trPr/>
        <w:tc>
          <w:tcPr>
            <w:tcW w:w="8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James S. Lee</w:t>
            </w:r>
          </w:p>
        </w:tc>
      </w:tr>
      <w:tr>
        <w:trPr/>
        <w:tc>
          <w:tcPr>
            <w:tcW w:w="8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Authorized Signatory</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 Wu</w:t>
            </w:r>
          </w:p>
        </w:tc>
      </w:tr>
      <w:tr>
        <w:trPr/>
        <w:tc>
          <w:tcPr>
            <w:tcW w:w="8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Robert L. Wu</w:t>
            </w:r>
          </w:p>
        </w:tc>
      </w:tr>
      <w:tr>
        <w:trPr/>
        <w:tc>
          <w:tcPr>
            <w:tcW w:w="8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283"/>
              <w:jc w:val="left"/>
              <w:rPr/>
            </w:pPr>
            <w:r>
              <w:rPr/>
              <w:t>Authorized Signatory</w:t>
            </w:r>
          </w:p>
        </w:tc>
      </w:tr>
      <w:tr>
        <w:trPr/>
        <w:tc>
          <w:tcPr>
            <w:tcW w:w="887"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11611 San Vicente Boulevard, Suite 700</w:t>
            </w:r>
          </w:p>
          <w:p>
            <w:pPr>
              <w:pStyle w:val="TableContents"/>
              <w:bidi w:val="0"/>
              <w:spacing w:before="0" w:after="20"/>
              <w:jc w:val="left"/>
              <w:rPr>
                <w:rFonts w:ascii="Times New Roman" w:hAnsi="Times New Roman"/>
                <w:sz w:val="20"/>
              </w:rPr>
            </w:pPr>
            <w:r>
              <w:rPr>
                <w:rFonts w:ascii="Times New Roman" w:hAnsi="Times New Roman"/>
                <w:sz w:val="20"/>
              </w:rPr>
              <w:t>Los Angeles, California 90049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i/>
          <w:sz w:val="20"/>
        </w:rPr>
        <w:t>[</w:t>
      </w:r>
      <w:r>
        <w:rPr>
          <w:rFonts w:ascii="Times New Roman" w:hAnsi="Times New Roman"/>
          <w:i/>
          <w:sz w:val="20"/>
        </w:rPr>
        <w:t>Signature Page to Registration Rights Agreement</w:t>
      </w:r>
      <w:r>
        <w:rPr>
          <w:rFonts w:ascii="Times New Roman" w:hAnsi="Times New Roman"/>
          <w:b/>
          <w:i/>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47"/>
        <w:gridCol w:w="65"/>
        <w:gridCol w:w="3270"/>
      </w:tblGrid>
      <w:tr>
        <w:trPr/>
        <w:tc>
          <w:tcPr>
            <w:tcW w:w="747"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2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MANAGEMENT HOLDINGS, LLC</w:t>
            </w:r>
          </w:p>
        </w:tc>
      </w:tr>
      <w:tr>
        <w:trPr>
          <w:trHeight w:val="240" w:hRule="atLeast"/>
        </w:trPr>
        <w:tc>
          <w:tcPr>
            <w:tcW w:w="747" w:type="dxa"/>
            <w:tcBorders/>
            <w:vAlign w:val="center"/>
          </w:tcPr>
          <w:p>
            <w:pPr>
              <w:pStyle w:val="TableContents"/>
              <w:bidi w:val="0"/>
              <w:spacing w:before="0" w:after="283"/>
              <w:jc w:val="left"/>
              <w:rPr>
                <w:sz w:val="4"/>
                <w:szCs w:val="4"/>
              </w:rPr>
            </w:pPr>
            <w:r>
              <w:rPr>
                <w:sz w:val="4"/>
                <w:szCs w:val="4"/>
              </w:rPr>
            </w:r>
          </w:p>
        </w:tc>
        <w:tc>
          <w:tcPr>
            <w:tcW w:w="3335" w:type="dxa"/>
            <w:gridSpan w:val="2"/>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270" w:type="dxa"/>
            <w:tcBorders>
              <w:bottom w:val="single" w:sz="2" w:space="0" w:color="000000"/>
            </w:tcBorders>
            <w:tcMar>
              <w:bottom w:w="28" w:type="dxa"/>
            </w:tcMar>
          </w:tcPr>
          <w:p>
            <w:pPr>
              <w:pStyle w:val="TableContents"/>
              <w:bidi w:val="0"/>
              <w:spacing w:before="0" w:after="283"/>
              <w:jc w:val="left"/>
              <w:rPr/>
            </w:pPr>
            <w:r>
              <w:rPr/>
              <w:t>/s/ James S. Lee</w:t>
            </w:r>
          </w:p>
        </w:tc>
      </w:tr>
      <w:tr>
        <w:trPr/>
        <w:tc>
          <w:tcPr>
            <w:tcW w:w="747" w:type="dxa"/>
            <w:tcBorders/>
          </w:tcPr>
          <w:p>
            <w:pPr>
              <w:pStyle w:val="TableContents"/>
              <w:bidi w:val="0"/>
              <w:spacing w:before="0" w:after="283"/>
              <w:jc w:val="left"/>
              <w:rPr/>
            </w:pPr>
            <w:r>
              <w:rPr/>
              <w:t>Name:</w:t>
            </w:r>
          </w:p>
        </w:tc>
        <w:tc>
          <w:tcPr>
            <w:tcW w:w="65" w:type="dxa"/>
            <w:tcBorders/>
            <w:vAlign w:val="bottom"/>
          </w:tcPr>
          <w:p>
            <w:pPr>
              <w:pStyle w:val="TableContents"/>
              <w:bidi w:val="0"/>
              <w:spacing w:before="0" w:after="283"/>
              <w:jc w:val="left"/>
              <w:rPr/>
            </w:pPr>
            <w:r>
              <w:rPr/>
              <w:t> </w:t>
            </w:r>
          </w:p>
        </w:tc>
        <w:tc>
          <w:tcPr>
            <w:tcW w:w="3270" w:type="dxa"/>
            <w:tcBorders/>
            <w:vAlign w:val="bottom"/>
          </w:tcPr>
          <w:p>
            <w:pPr>
              <w:pStyle w:val="TableContents"/>
              <w:bidi w:val="0"/>
              <w:spacing w:before="0" w:after="283"/>
              <w:jc w:val="left"/>
              <w:rPr/>
            </w:pPr>
            <w:r>
              <w:rPr/>
              <w:t>James S. Lee</w:t>
            </w:r>
          </w:p>
        </w:tc>
      </w:tr>
      <w:tr>
        <w:trPr/>
        <w:tc>
          <w:tcPr>
            <w:tcW w:w="747" w:type="dxa"/>
            <w:tcBorders/>
          </w:tcPr>
          <w:p>
            <w:pPr>
              <w:pStyle w:val="TableContents"/>
              <w:bidi w:val="0"/>
              <w:spacing w:before="0" w:after="283"/>
              <w:jc w:val="left"/>
              <w:rPr/>
            </w:pPr>
            <w:r>
              <w:rPr/>
              <w:t>Title:</w:t>
            </w:r>
          </w:p>
        </w:tc>
        <w:tc>
          <w:tcPr>
            <w:tcW w:w="65" w:type="dxa"/>
            <w:tcBorders/>
            <w:vAlign w:val="bottom"/>
          </w:tcPr>
          <w:p>
            <w:pPr>
              <w:pStyle w:val="TableContents"/>
              <w:bidi w:val="0"/>
              <w:spacing w:before="0" w:after="283"/>
              <w:jc w:val="left"/>
              <w:rPr/>
            </w:pPr>
            <w:r>
              <w:rPr/>
              <w:t> </w:t>
            </w:r>
          </w:p>
        </w:tc>
        <w:tc>
          <w:tcPr>
            <w:tcW w:w="3270" w:type="dxa"/>
            <w:tcBorders/>
            <w:vAlign w:val="bottom"/>
          </w:tcPr>
          <w:p>
            <w:pPr>
              <w:pStyle w:val="TableContents"/>
              <w:bidi w:val="0"/>
              <w:spacing w:before="0" w:after="283"/>
              <w:jc w:val="left"/>
              <w:rPr/>
            </w:pPr>
            <w:r>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i/>
          <w:sz w:val="20"/>
        </w:rPr>
        <w:t>[</w:t>
      </w:r>
      <w:r>
        <w:rPr>
          <w:rFonts w:ascii="Times New Roman" w:hAnsi="Times New Roman"/>
          <w:i/>
          <w:sz w:val="20"/>
        </w:rPr>
        <w:t>Signature Page to Registration Rights Agreement</w:t>
      </w:r>
      <w:r>
        <w:rPr>
          <w:rFonts w:ascii="Times New Roman" w:hAnsi="Times New Roman"/>
          <w:b/>
          <w:i/>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of any Person means any other Person controlled by, controlling or under common control with such Person and, in the case of an individual, also includes any member of such individual’s Family Group; </w:t>
      </w:r>
      <w:r>
        <w:rPr>
          <w:rFonts w:ascii="Times New Roman" w:hAnsi="Times New Roman"/>
          <w:sz w:val="20"/>
          <w:u w:val="single"/>
        </w:rPr>
        <w:t>provided</w:t>
      </w:r>
      <w:r>
        <w:rPr>
          <w:rFonts w:ascii="Times New Roman" w:hAnsi="Times New Roman"/>
          <w:sz w:val="20"/>
        </w:rPr>
        <w:t xml:space="preserve"> that the Company and its Subsidiaries will not be deemed to be Affiliates of any holder of Registrable Securities. As used in this definition, “control” (including, with its correlative meanings, “controlling,” “controlled by” and “under common control with”) will mean possession, directly or indirectly, of power to direct or cause the direction of management or policies (whether through ownership of securities, by contract or otherwise).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Automatic Shelf Registration Statement</w:t>
      </w:r>
      <w:r>
        <w:rPr>
          <w:rFonts w:ascii="Times New Roman" w:hAnsi="Times New Roman"/>
          <w:sz w:val="20"/>
        </w:rPr>
        <w:t xml:space="preserve">” has the meaning set forth in </w:t>
      </w:r>
      <w:r>
        <w:rPr>
          <w:rFonts w:ascii="Times New Roman" w:hAnsi="Times New Roman"/>
          <w:sz w:val="20"/>
          <w:u w:val="single"/>
        </w:rPr>
        <w:t>Section 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that is not a Saturday or Sunday or a day on which banks in New York City are authorized or requested by law to close. </w:t>
      </w:r>
    </w:p>
    <w:p>
      <w:pPr>
        <w:pStyle w:val="TextBody"/>
        <w:bidi w:val="0"/>
        <w:spacing w:before="240" w:after="0"/>
        <w:jc w:val="left"/>
        <w:rPr/>
      </w:pPr>
      <w:r>
        <w:rPr/>
        <w:t>“</w:t>
      </w:r>
      <w:r>
        <w:rPr>
          <w:rFonts w:ascii="Times New Roman" w:hAnsi="Times New Roman"/>
          <w:sz w:val="20"/>
          <w:u w:val="single"/>
        </w:rPr>
        <w:t>Charitable Gifting Event</w:t>
      </w:r>
      <w:r>
        <w:rPr>
          <w:rFonts w:ascii="Times New Roman" w:hAnsi="Times New Roman"/>
          <w:sz w:val="20"/>
        </w:rPr>
        <w:t xml:space="preserve">” means any transfer by a Sponsor Investor, or any subsequent transfer by such holder’s members, partners or other employees, in connection with a bona fide gift to any Charitable Organization on the date of, but prior to, the execution of the underwriting agreement entered into in connection with any underwritten offering. </w:t>
      </w:r>
    </w:p>
    <w:p>
      <w:pPr>
        <w:pStyle w:val="TextBody"/>
        <w:bidi w:val="0"/>
        <w:spacing w:before="240" w:after="0"/>
        <w:jc w:val="left"/>
        <w:rPr/>
      </w:pPr>
      <w:r>
        <w:rPr/>
        <w:t>“</w:t>
      </w:r>
      <w:r>
        <w:rPr>
          <w:rFonts w:ascii="Times New Roman" w:hAnsi="Times New Roman"/>
          <w:sz w:val="20"/>
          <w:u w:val="single"/>
        </w:rPr>
        <w:t>Charitable Organization</w:t>
      </w:r>
      <w:r>
        <w:rPr>
          <w:rFonts w:ascii="Times New Roman" w:hAnsi="Times New Roman"/>
          <w:sz w:val="20"/>
        </w:rPr>
        <w:t xml:space="preserve">” means a charitable organization as described by </w:t>
      </w:r>
      <w:r>
        <w:rPr>
          <w:rFonts w:ascii="Times New Roman" w:hAnsi="Times New Roman"/>
          <w:sz w:val="20"/>
          <w:u w:val="single"/>
        </w:rPr>
        <w:t>Section 501(c)(3)</w:t>
      </w:r>
      <w:r>
        <w:rPr>
          <w:rFonts w:ascii="Times New Roman" w:hAnsi="Times New Roman"/>
          <w:sz w:val="20"/>
        </w:rPr>
        <w:t xml:space="preserve"> of the Internal Revenue Code of 1986, as in effect from time to time. </w:t>
      </w:r>
    </w:p>
    <w:p>
      <w:pPr>
        <w:pStyle w:val="TextBody"/>
        <w:bidi w:val="0"/>
        <w:spacing w:before="240" w:after="0"/>
        <w:jc w:val="left"/>
        <w:rPr/>
      </w:pPr>
      <w:r>
        <w:rPr/>
        <w:t>“</w:t>
      </w:r>
      <w:r>
        <w:rPr>
          <w:rFonts w:ascii="Times New Roman" w:hAnsi="Times New Roman"/>
          <w:sz w:val="20"/>
          <w:u w:val="single"/>
        </w:rPr>
        <w:t>Common Equity</w:t>
      </w:r>
      <w:r>
        <w:rPr>
          <w:rFonts w:ascii="Times New Roman" w:hAnsi="Times New Roman"/>
          <w:sz w:val="20"/>
        </w:rPr>
        <w:t xml:space="preserve">” means the Company’s shares of Class A common stock, par value $0.001 per share.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and shall include its successor(s). </w:t>
      </w:r>
    </w:p>
    <w:p>
      <w:pPr>
        <w:pStyle w:val="TextBody"/>
        <w:bidi w:val="0"/>
        <w:spacing w:before="240" w:after="0"/>
        <w:jc w:val="left"/>
        <w:rPr/>
      </w:pPr>
      <w:r>
        <w:rPr/>
        <w:t>“</w:t>
      </w:r>
      <w:r>
        <w:rPr>
          <w:rFonts w:ascii="Times New Roman" w:hAnsi="Times New Roman"/>
          <w:sz w:val="20"/>
          <w:u w:val="single"/>
        </w:rPr>
        <w:t>Demand Registrations</w:t>
      </w:r>
      <w:r>
        <w:rPr>
          <w:rFonts w:ascii="Times New Roman" w:hAnsi="Times New Roman"/>
          <w:sz w:val="20"/>
        </w:rPr>
        <w:t xml:space="preserve">” has the meaning set forth in </w:t>
      </w:r>
      <w:r>
        <w:rPr>
          <w:rFonts w:ascii="Times New Roman" w:hAnsi="Times New Roman"/>
          <w:sz w:val="20"/>
          <w:u w:val="single"/>
        </w:rPr>
        <w:t>Section 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End of Suspension Notice</w:t>
      </w:r>
      <w:r>
        <w:rPr>
          <w:rFonts w:ascii="Times New Roman" w:hAnsi="Times New Roman"/>
          <w:sz w:val="20"/>
        </w:rPr>
        <w:t xml:space="preserve">” has the meaning set forth in </w:t>
      </w:r>
      <w:r>
        <w:rPr>
          <w:rFonts w:ascii="Times New Roman" w:hAnsi="Times New Roman"/>
          <w:sz w:val="20"/>
          <w:u w:val="single"/>
        </w:rPr>
        <w:t>Section 1(f)(ii)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from time to time, or any successor federal law then in force, together with all rules and regulations promulgated thereunder. </w:t>
      </w:r>
    </w:p>
    <w:p>
      <w:pPr>
        <w:pStyle w:val="TextBody"/>
        <w:bidi w:val="0"/>
        <w:spacing w:before="240" w:after="0"/>
        <w:jc w:val="left"/>
        <w:rPr/>
      </w:pPr>
      <w:r>
        <w:rPr/>
        <w:t>“</w:t>
      </w:r>
      <w:r>
        <w:rPr>
          <w:rFonts w:ascii="Times New Roman" w:hAnsi="Times New Roman"/>
          <w:sz w:val="20"/>
          <w:u w:val="single"/>
        </w:rPr>
        <w:t>Excluded Registration</w:t>
      </w:r>
      <w:r>
        <w:rPr>
          <w:rFonts w:ascii="Times New Roman" w:hAnsi="Times New Roman"/>
          <w:sz w:val="20"/>
        </w:rPr>
        <w:t xml:space="preserve">” means any registration (i) pursuant to a Demand Registration (which is addressed in </w:t>
      </w:r>
      <w:r>
        <w:rPr>
          <w:rFonts w:ascii="Times New Roman" w:hAnsi="Times New Roman"/>
          <w:sz w:val="20"/>
          <w:u w:val="single"/>
        </w:rPr>
        <w:t>Section 1(a)</w:t>
      </w:r>
      <w:r>
        <w:rPr>
          <w:rFonts w:ascii="Times New Roman" w:hAnsi="Times New Roman"/>
          <w:sz w:val="20"/>
        </w:rPr>
        <w:t xml:space="preserve">), or (ii) in connection with registrations on Form S-4 or S-8 promulgated by the SEC or any successor or similar forms. </w:t>
      </w:r>
    </w:p>
    <w:p>
      <w:pPr>
        <w:pStyle w:val="TextBody"/>
        <w:bidi w:val="0"/>
        <w:spacing w:before="240" w:after="0"/>
        <w:jc w:val="left"/>
        <w:rPr/>
      </w:pPr>
      <w:r>
        <w:rPr/>
        <w:t>“</w:t>
      </w:r>
      <w:r>
        <w:rPr>
          <w:rFonts w:ascii="Times New Roman" w:hAnsi="Times New Roman"/>
          <w:sz w:val="20"/>
          <w:u w:val="single"/>
        </w:rPr>
        <w:t>Executives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Executive Registrable Securities</w:t>
      </w:r>
      <w:r>
        <w:rPr>
          <w:rFonts w:ascii="Times New Roman" w:hAnsi="Times New Roman"/>
          <w:sz w:val="20"/>
        </w:rPr>
        <w:t xml:space="preserve">” means any Common Equity held (directly or indirectly) by the management employees of the Company who are listed as “Executives” on the signature page hereto or to a Joinder. </w:t>
      </w:r>
    </w:p>
    <w:p>
      <w:pPr>
        <w:pStyle w:val="TextBody"/>
        <w:bidi w:val="0"/>
        <w:spacing w:before="240" w:after="0"/>
        <w:jc w:val="left"/>
        <w:rPr/>
      </w:pPr>
      <w:r>
        <w:rPr/>
        <w:t>“</w:t>
      </w:r>
      <w:r>
        <w:rPr>
          <w:rFonts w:ascii="Times New Roman" w:hAnsi="Times New Roman"/>
          <w:sz w:val="20"/>
          <w:u w:val="single"/>
        </w:rPr>
        <w:t>Expenses</w:t>
      </w:r>
      <w:r>
        <w:rPr>
          <w:rFonts w:ascii="Times New Roman" w:hAnsi="Times New Roman"/>
          <w:sz w:val="20"/>
        </w:rPr>
        <w:t xml:space="preserve">” has the meaning set forth in </w:t>
      </w:r>
      <w:r>
        <w:rPr>
          <w:rFonts w:ascii="Times New Roman" w:hAnsi="Times New Roman"/>
          <w:sz w:val="20"/>
          <w:u w:val="single"/>
        </w:rPr>
        <w:t>Section 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Family Group</w:t>
      </w:r>
      <w:r>
        <w:rPr>
          <w:rFonts w:ascii="Times New Roman" w:hAnsi="Times New Roman"/>
          <w:sz w:val="20"/>
        </w:rPr>
        <w:t xml:space="preserve">” means (i) in the case of a Holder who is an individual, such individual’s spouse, parents and descendants (whether natural or adopted), any trust or estate planning vehicle or entity solely for the benefit of such individual and/or the individual’s spouse, parents and/or descendants, and any charitable remainder trust in which such Holder serves as trustee, (ii) in the case of a Holder that is a trust, the beneficiary of such trust, and (iii) corporations, partnerships or limited liability companies in which such trusts, such individual’s spouse, parents and descendants (whether natural or adopted) are the only shareholders, partners, or members.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left"/>
        <w:rPr/>
      </w:pPr>
      <w:r>
        <w:rPr/>
        <w:t>“</w:t>
      </w:r>
      <w:r>
        <w:rPr>
          <w:rFonts w:ascii="Times New Roman" w:hAnsi="Times New Roman"/>
          <w:sz w:val="20"/>
          <w:u w:val="single"/>
        </w:rPr>
        <w:t>Free Writing Prospectus</w:t>
      </w:r>
      <w:r>
        <w:rPr>
          <w:rFonts w:ascii="Times New Roman" w:hAnsi="Times New Roman"/>
          <w:sz w:val="20"/>
        </w:rPr>
        <w:t xml:space="preserve">” means a free writing prospectus, as defined in Rule 405. </w:t>
      </w:r>
    </w:p>
    <w:p>
      <w:pPr>
        <w:pStyle w:val="TextBody"/>
        <w:bidi w:val="0"/>
        <w:spacing w:before="240" w:after="0"/>
        <w:jc w:val="left"/>
        <w:rPr/>
      </w:pPr>
      <w:r>
        <w:rPr/>
        <w:t>“</w:t>
      </w:r>
      <w:r>
        <w:rPr>
          <w:rFonts w:ascii="Times New Roman" w:hAnsi="Times New Roman"/>
          <w:sz w:val="20"/>
          <w:u w:val="single"/>
        </w:rPr>
        <w:t>Holdback Period</w:t>
      </w:r>
      <w:r>
        <w:rPr>
          <w:rFonts w:ascii="Times New Roman" w:hAnsi="Times New Roman"/>
          <w:sz w:val="20"/>
        </w:rPr>
        <w:t xml:space="preserve">” has the meaning set forth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 holder of Registrable Securities who is a party to this Agreement (including by way of Joinder). </w:t>
      </w:r>
    </w:p>
    <w:p>
      <w:pPr>
        <w:pStyle w:val="TextBody"/>
        <w:bidi w:val="0"/>
        <w:spacing w:before="240" w:after="0"/>
        <w:jc w:val="left"/>
        <w:rPr/>
      </w:pPr>
      <w:r>
        <w:rPr/>
        <w:t>“</w:t>
      </w:r>
      <w:r>
        <w:rPr>
          <w:rFonts w:ascii="Times New Roman" w:hAnsi="Times New Roman"/>
          <w:sz w:val="20"/>
          <w:u w:val="single"/>
        </w:rPr>
        <w:t>Indemnified Parties</w:t>
      </w:r>
      <w:r>
        <w:rPr>
          <w:rFonts w:ascii="Times New Roman" w:hAnsi="Times New Roman"/>
          <w:sz w:val="20"/>
        </w:rPr>
        <w:t xml:space="preserve">” has the meaning set forth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ITG Parent LLC Agreement</w:t>
      </w:r>
      <w:r>
        <w:rPr>
          <w:rFonts w:ascii="Times New Roman" w:hAnsi="Times New Roman"/>
          <w:sz w:val="20"/>
        </w:rPr>
        <w:t xml:space="preserve">” has the meaning set forth in </w:t>
      </w:r>
      <w:r>
        <w:rPr>
          <w:rFonts w:ascii="Times New Roman" w:hAnsi="Times New Roman"/>
          <w:sz w:val="20"/>
          <w:u w:val="single"/>
        </w:rPr>
        <w:t>Section 10(d)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Joinder</w:t>
      </w:r>
      <w:r>
        <w:rPr>
          <w:rFonts w:ascii="Times New Roman" w:hAnsi="Times New Roman"/>
          <w:sz w:val="20"/>
        </w:rPr>
        <w:t xml:space="preserve">” has the meaning set forth in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Long-Form Registrations</w:t>
      </w:r>
      <w:r>
        <w:rPr>
          <w:rFonts w:ascii="Times New Roman" w:hAnsi="Times New Roman"/>
          <w:sz w:val="20"/>
        </w:rPr>
        <w:t xml:space="preserve">” has the meaning set forth in </w:t>
      </w:r>
      <w:r>
        <w:rPr>
          <w:rFonts w:ascii="Times New Roman" w:hAnsi="Times New Roman"/>
          <w:sz w:val="20"/>
          <w:u w:val="single"/>
        </w:rPr>
        <w:t>Section 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has the meaning set forth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NewCo</w:t>
      </w:r>
      <w:r>
        <w:rPr>
          <w:rFonts w:ascii="Times New Roman" w:hAnsi="Times New Roman"/>
          <w:sz w:val="20"/>
        </w:rPr>
        <w:t xml:space="preserve">” has the meaning set forth in </w:t>
      </w:r>
      <w:r>
        <w:rPr>
          <w:rFonts w:ascii="Times New Roman" w:hAnsi="Times New Roman"/>
          <w:sz w:val="20"/>
          <w:u w:val="single"/>
        </w:rPr>
        <w:t>Section 4(j)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Other Investors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Other Investor Registrable Securities</w:t>
      </w:r>
      <w:r>
        <w:rPr>
          <w:rFonts w:ascii="Times New Roman" w:hAnsi="Times New Roman"/>
          <w:sz w:val="20"/>
        </w:rPr>
        <w:t xml:space="preserve">” means (i) any Common Equity held (directly or indirectly) by any Other Investors or any of their Affiliates, and (ii) any equity securities of the Company or any Subsidiary issued or issuable with respect to the securities referred to in </w:t>
      </w:r>
      <w:r>
        <w:rPr>
          <w:rFonts w:ascii="Times New Roman" w:hAnsi="Times New Roman"/>
          <w:sz w:val="20"/>
          <w:u w:val="single"/>
        </w:rPr>
        <w:t>clause (i)</w:t>
      </w:r>
      <w:r>
        <w:rPr>
          <w:rFonts w:ascii="Times New Roman" w:hAnsi="Times New Roman"/>
          <w:sz w:val="20"/>
        </w:rPr>
        <w:t xml:space="preserve"> above by way of dividend, distribution, split or combination of securities, or any recapitalization, merger, consolidation or other reorganization. </w:t>
      </w:r>
    </w:p>
    <w:p>
      <w:pPr>
        <w:pStyle w:val="TextBody"/>
        <w:bidi w:val="0"/>
        <w:spacing w:before="240" w:after="0"/>
        <w:jc w:val="left"/>
        <w:rPr/>
      </w:pPr>
      <w:r>
        <w:rPr/>
        <w:t>“</w:t>
      </w:r>
      <w:r>
        <w:rPr>
          <w:rFonts w:ascii="Times New Roman" w:hAnsi="Times New Roman"/>
          <w:sz w:val="20"/>
          <w:u w:val="single"/>
        </w:rPr>
        <w:t>Other Securities</w:t>
      </w:r>
      <w:r>
        <w:rPr>
          <w:rFonts w:ascii="Times New Roman" w:hAnsi="Times New Roman"/>
          <w:sz w:val="20"/>
        </w:rPr>
        <w:t xml:space="preserve">” has the meaning set forth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Sponsor Investors</w:t>
      </w:r>
      <w:r>
        <w:rPr>
          <w:rFonts w:ascii="Times New Roman" w:hAnsi="Times New Roman"/>
          <w:sz w:val="20"/>
        </w:rPr>
        <w:t xml:space="preserve">” means any Sponsor Investor(s) participating in the request for a Demand Registration, Shelf Offering, Piggyback Registration or Underwritten Block Trade.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and a governmental entity or any department, agency or political subdivision thereof. </w:t>
      </w:r>
    </w:p>
    <w:p>
      <w:pPr>
        <w:pStyle w:val="TextBody"/>
        <w:bidi w:val="0"/>
        <w:spacing w:before="240" w:after="0"/>
        <w:jc w:val="left"/>
        <w:rPr/>
      </w:pPr>
      <w:r>
        <w:rPr/>
        <w:t>“</w:t>
      </w:r>
      <w:r>
        <w:rPr>
          <w:rFonts w:ascii="Times New Roman" w:hAnsi="Times New Roman"/>
          <w:sz w:val="20"/>
          <w:u w:val="single"/>
        </w:rPr>
        <w:t>Piggyback Registrations</w:t>
      </w:r>
      <w:r>
        <w:rPr>
          <w:rFonts w:ascii="Times New Roman" w:hAnsi="Times New Roman"/>
          <w:sz w:val="20"/>
        </w:rPr>
        <w:t xml:space="preserve">” has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Potential Participant</w:t>
      </w:r>
      <w:r>
        <w:rPr>
          <w:rFonts w:ascii="Times New Roman" w:hAnsi="Times New Roman"/>
          <w:sz w:val="20"/>
        </w:rPr>
        <w:t xml:space="preserve">” has the meaning set forth in </w:t>
      </w:r>
      <w:r>
        <w:rPr>
          <w:rFonts w:ascii="Times New Roman" w:hAnsi="Times New Roman"/>
          <w:sz w:val="20"/>
          <w:u w:val="single"/>
        </w:rPr>
        <w:t>Section 1(d)(ii)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Public Offering</w:t>
      </w:r>
      <w:r>
        <w:rPr>
          <w:rFonts w:ascii="Times New Roman" w:hAnsi="Times New Roman"/>
          <w:sz w:val="20"/>
        </w:rPr>
        <w:t xml:space="preserve">” means any sale or distribution by the Company, one of its Subsidiaries and/or Holders to the public of Common Equity or other securities convertible into or exchangeable for Common Equity pursuant to an offering registered under the Securities Act. </w:t>
      </w:r>
    </w:p>
    <w:p>
      <w:pPr>
        <w:pStyle w:val="TextBody"/>
        <w:bidi w:val="0"/>
        <w:spacing w:before="240" w:after="0"/>
        <w:jc w:val="left"/>
        <w:rPr/>
      </w:pPr>
      <w:r>
        <w:rPr/>
        <w:t>“</w:t>
      </w:r>
      <w:r>
        <w:rPr>
          <w:rFonts w:ascii="Times New Roman" w:hAnsi="Times New Roman"/>
          <w:sz w:val="20"/>
          <w:u w:val="single"/>
        </w:rPr>
        <w:t>Qualified Independent Underwriter</w:t>
      </w:r>
      <w:r>
        <w:rPr>
          <w:rFonts w:ascii="Times New Roman" w:hAnsi="Times New Roman"/>
          <w:sz w:val="20"/>
        </w:rPr>
        <w:t xml:space="preserve">” has the meaning set forth by FINRA in Section 5121(f)(12), or any successor provision thereto. </w:t>
      </w:r>
    </w:p>
    <w:p>
      <w:pPr>
        <w:pStyle w:val="TextBody"/>
        <w:bidi w:val="0"/>
        <w:spacing w:before="240" w:after="0"/>
        <w:jc w:val="left"/>
        <w:rPr/>
      </w:pPr>
      <w:r>
        <w:rPr/>
        <w:t>“</w:t>
      </w:r>
      <w:r>
        <w:rPr>
          <w:rFonts w:ascii="Times New Roman" w:hAnsi="Times New Roman"/>
          <w:sz w:val="20"/>
          <w:u w:val="single"/>
        </w:rPr>
        <w:t>Registrable Securities</w:t>
      </w:r>
      <w:r>
        <w:rPr>
          <w:rFonts w:ascii="Times New Roman" w:hAnsi="Times New Roman"/>
          <w:sz w:val="20"/>
        </w:rPr>
        <w:t xml:space="preserve">” means Sponsor Investor Registrable Securities, Other Investor Registrable Securities and Executive Registrable Securities. As to any particular Registrable Securities, such securities will cease to be Registrable Securities when they have been (a) sold or distributed pursuant to a Public Offering, (b) sold in compliance with Rule 144 following the consummation of the initial Public Offering, (c) distributed to the direct or indirect partners or members of a Sponsor Investor (other than the managing member of a Sponsor Investor), (d) repurchased by the Company or a Subsidiary of the Company, or (e) registered under a registration statement on Form S-8 (or any successor form). For purposes of this Agreement, a Person will be deemed to be a holder of Registrable Securities, and the Registrable Securities will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will be entitled to exercise the rights of a holder of Registrable Securities hereunder (it being understood that a holder of Registrable Securities may only request that Registrable Securities in the form of Common Equity be registered pursuant to this Agreement). Notwithstanding the foregoing, following the consummation of an initial Public Offering, any Registrable Securities held by any Person (other than any Sponsor Investor or its Affiliates) that may be sold under Rule 144(b)(1)(i) without limitation under any of the other requirements of Rule 144 will be deemed not to be Registrable Securities.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w:t>
      </w:r>
      <w:r>
        <w:rPr>
          <w:rFonts w:ascii="Times New Roman" w:hAnsi="Times New Roman"/>
          <w:sz w:val="20"/>
          <w:u w:val="single"/>
        </w:rPr>
        <w:t>Rule 158</w:t>
      </w:r>
      <w:r>
        <w:rPr>
          <w:rFonts w:ascii="Times New Roman" w:hAnsi="Times New Roman"/>
          <w:sz w:val="20"/>
        </w:rPr>
        <w:t>”, “</w:t>
      </w:r>
      <w:r>
        <w:rPr>
          <w:rFonts w:ascii="Times New Roman" w:hAnsi="Times New Roman"/>
          <w:sz w:val="20"/>
          <w:u w:val="single"/>
        </w:rPr>
        <w:t>Rule 405</w:t>
      </w:r>
      <w:r>
        <w:rPr>
          <w:rFonts w:ascii="Times New Roman" w:hAnsi="Times New Roman"/>
          <w:sz w:val="20"/>
        </w:rPr>
        <w:t>”, “</w:t>
      </w:r>
      <w:r>
        <w:rPr>
          <w:rFonts w:ascii="Times New Roman" w:hAnsi="Times New Roman"/>
          <w:sz w:val="20"/>
          <w:u w:val="single"/>
        </w:rPr>
        <w:t>Rule 415</w:t>
      </w:r>
      <w:r>
        <w:rPr>
          <w:rFonts w:ascii="Times New Roman" w:hAnsi="Times New Roman"/>
          <w:sz w:val="20"/>
        </w:rPr>
        <w:t>” and “</w:t>
      </w:r>
      <w:r>
        <w:rPr>
          <w:rFonts w:ascii="Times New Roman" w:hAnsi="Times New Roman"/>
          <w:sz w:val="20"/>
          <w:u w:val="single"/>
        </w:rPr>
        <w:t>Rule 430B</w:t>
      </w:r>
      <w:r>
        <w:rPr>
          <w:rFonts w:ascii="Times New Roman" w:hAnsi="Times New Roman"/>
          <w:sz w:val="20"/>
        </w:rPr>
        <w:t xml:space="preserve">” mean, in each case, such rule promulgated under the Securities Act (or any successor provision) by the SEC, as the same will be amended from time to time, or any successor rule then in force. </w:t>
      </w:r>
    </w:p>
    <w:p>
      <w:pPr>
        <w:pStyle w:val="TextBody"/>
        <w:bidi w:val="0"/>
        <w:spacing w:before="240" w:after="0"/>
        <w:jc w:val="left"/>
        <w:rPr/>
      </w:pPr>
      <w:r>
        <w:rPr/>
        <w:t>“</w:t>
      </w:r>
      <w:r>
        <w:rPr>
          <w:rFonts w:ascii="Times New Roman" w:hAnsi="Times New Roman"/>
          <w:sz w:val="20"/>
          <w:u w:val="single"/>
        </w:rPr>
        <w:t>Sale Transaction</w:t>
      </w:r>
      <w:r>
        <w:rPr>
          <w:rFonts w:ascii="Times New Roman" w:hAnsi="Times New Roman"/>
          <w:sz w:val="20"/>
        </w:rPr>
        <w:t xml:space="preserve">” has the meaning set forth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has the meaning set forth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from time to time, or any successor federal law then in force, together with all rules and regulations promulgated thereunder. </w:t>
      </w:r>
    </w:p>
    <w:p>
      <w:pPr>
        <w:pStyle w:val="TextBody"/>
        <w:bidi w:val="0"/>
        <w:spacing w:before="240" w:after="0"/>
        <w:jc w:val="left"/>
        <w:rPr/>
      </w:pPr>
      <w:r>
        <w:rPr/>
        <w:t>“</w:t>
      </w:r>
      <w:r>
        <w:rPr>
          <w:rFonts w:ascii="Times New Roman" w:hAnsi="Times New Roman"/>
          <w:sz w:val="20"/>
          <w:u w:val="single"/>
        </w:rPr>
        <w:t>Shelf Offering</w:t>
      </w:r>
      <w:r>
        <w:rPr>
          <w:rFonts w:ascii="Times New Roman" w:hAnsi="Times New Roman"/>
          <w:sz w:val="20"/>
        </w:rPr>
        <w:t xml:space="preserve">” has the meaning set forth in </w:t>
      </w:r>
      <w:r>
        <w:rPr>
          <w:rFonts w:ascii="Times New Roman" w:hAnsi="Times New Roman"/>
          <w:sz w:val="20"/>
          <w:u w:val="single"/>
        </w:rPr>
        <w:t>Section 1(d)(i)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Offering Notice</w:t>
      </w:r>
      <w:r>
        <w:rPr>
          <w:rFonts w:ascii="Times New Roman" w:hAnsi="Times New Roman"/>
          <w:sz w:val="20"/>
        </w:rPr>
        <w:t xml:space="preserve">” has the meaning set forth in </w:t>
      </w:r>
      <w:r>
        <w:rPr>
          <w:rFonts w:ascii="Times New Roman" w:hAnsi="Times New Roman"/>
          <w:sz w:val="20"/>
          <w:u w:val="single"/>
        </w:rPr>
        <w:t>Section 1(d)(i)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Period</w:t>
      </w:r>
      <w:r>
        <w:rPr>
          <w:rFonts w:ascii="Times New Roman" w:hAnsi="Times New Roman"/>
          <w:sz w:val="20"/>
        </w:rPr>
        <w:t xml:space="preserve">” has the meaning set forth in </w:t>
      </w:r>
      <w:r>
        <w:rPr>
          <w:rFonts w:ascii="Times New Roman" w:hAnsi="Times New Roman"/>
          <w:sz w:val="20"/>
          <w:u w:val="single"/>
        </w:rPr>
        <w:t>Section 1(d)(v)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Registration</w:t>
      </w:r>
      <w:r>
        <w:rPr>
          <w:rFonts w:ascii="Times New Roman" w:hAnsi="Times New Roman"/>
          <w:sz w:val="20"/>
        </w:rPr>
        <w:t xml:space="preserve">” has the meaning set forth in </w:t>
      </w:r>
      <w:r>
        <w:rPr>
          <w:rFonts w:ascii="Times New Roman" w:hAnsi="Times New Roman"/>
          <w:sz w:val="20"/>
          <w:u w:val="single"/>
        </w:rPr>
        <w:t>Section 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Registrable Securities</w:t>
      </w:r>
      <w:r>
        <w:rPr>
          <w:rFonts w:ascii="Times New Roman" w:hAnsi="Times New Roman"/>
          <w:sz w:val="20"/>
        </w:rPr>
        <w:t xml:space="preserve">” has the meaning set forth in </w:t>
      </w:r>
      <w:r>
        <w:rPr>
          <w:rFonts w:ascii="Times New Roman" w:hAnsi="Times New Roman"/>
          <w:sz w:val="20"/>
          <w:u w:val="single"/>
        </w:rPr>
        <w:t>Section 1(d)(i)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Registration Statement</w:t>
      </w:r>
      <w:r>
        <w:rPr>
          <w:rFonts w:ascii="Times New Roman" w:hAnsi="Times New Roman"/>
          <w:sz w:val="20"/>
        </w:rPr>
        <w:t xml:space="preserve">” has the meaning set forth in </w:t>
      </w:r>
      <w:r>
        <w:rPr>
          <w:rFonts w:ascii="Times New Roman" w:hAnsi="Times New Roman"/>
          <w:sz w:val="20"/>
          <w:u w:val="single"/>
        </w:rPr>
        <w:t>Section 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Short-Form Registrations</w:t>
      </w:r>
      <w:r>
        <w:rPr>
          <w:rFonts w:ascii="Times New Roman" w:hAnsi="Times New Roman"/>
          <w:sz w:val="20"/>
        </w:rPr>
        <w:t xml:space="preserve">” has the meaning set forth in </w:t>
      </w:r>
      <w:r>
        <w:rPr>
          <w:rFonts w:ascii="Times New Roman" w:hAnsi="Times New Roman"/>
          <w:sz w:val="20"/>
          <w:u w:val="single"/>
        </w:rPr>
        <w:t>Section 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Sponsor Investors</w:t>
      </w:r>
      <w:r>
        <w:rPr>
          <w:rFonts w:ascii="Times New Roman" w:hAnsi="Times New Roman"/>
          <w:sz w:val="20"/>
        </w:rPr>
        <w:t xml:space="preserve">” has the meaning set forth in the recitals; provided that any decision to be made under this Agreement by the Sponsor Investors shall be made by the holders of a majority of all Sponsor Investor Registrable Securities. </w:t>
      </w:r>
    </w:p>
    <w:p>
      <w:pPr>
        <w:pStyle w:val="TextBody"/>
        <w:bidi w:val="0"/>
        <w:spacing w:before="240" w:after="0"/>
        <w:jc w:val="left"/>
        <w:rPr/>
      </w:pPr>
      <w:r>
        <w:rPr/>
        <w:t>“</w:t>
      </w:r>
      <w:r>
        <w:rPr>
          <w:rFonts w:ascii="Times New Roman" w:hAnsi="Times New Roman"/>
          <w:sz w:val="20"/>
          <w:u w:val="single"/>
        </w:rPr>
        <w:t>Sponsor Investor Registrable Securities</w:t>
      </w:r>
      <w:r>
        <w:rPr>
          <w:rFonts w:ascii="Times New Roman" w:hAnsi="Times New Roman"/>
          <w:sz w:val="20"/>
        </w:rPr>
        <w:t xml:space="preserve">” means (i) any Common Equity held (directly or indirectly) by any Sponsor Investor or any of its Affiliates, and (ii) any equity securities of the Company or any Subsidiary issued or issuable with respect to the securities referred to in </w:t>
      </w:r>
      <w:r>
        <w:rPr>
          <w:rFonts w:ascii="Times New Roman" w:hAnsi="Times New Roman"/>
          <w:sz w:val="20"/>
          <w:u w:val="single"/>
        </w:rPr>
        <w:t>clause (i)</w:t>
      </w:r>
      <w:r>
        <w:rPr>
          <w:rFonts w:ascii="Times New Roman" w:hAnsi="Times New Roman"/>
          <w:sz w:val="20"/>
        </w:rPr>
        <w:t xml:space="preserve"> above by way of dividend, distribution, split or combination of securities, or any recapitalization, merger, consolidation or other reorganization.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the Company,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limited liability company, partnership, association or other business entity, a majority of the limited liability company, partnership or other similar ownership interest thereof is at the time owned or controlled, directly or indirectly, by the Company or one or more Subsidiaries of the Company or a combination thereof. For purposes hereof, a Person or Persons will be deemed to have a majority ownership interest in a limited liability company, partnership, association or other business entity if such Person or Persons will be allocated a majority of limited liability company, partnership, association or other business entity gains or losses or will be or control the managing director or general partner of such limited liability company, partnership, association or other business entity. </w:t>
      </w:r>
    </w:p>
    <w:p>
      <w:pPr>
        <w:pStyle w:val="TextBody"/>
        <w:bidi w:val="0"/>
        <w:spacing w:before="240" w:after="0"/>
        <w:jc w:val="left"/>
        <w:rPr/>
      </w:pPr>
      <w:r>
        <w:rPr/>
        <w:t>“</w:t>
      </w:r>
      <w:r>
        <w:rPr>
          <w:rFonts w:ascii="Times New Roman" w:hAnsi="Times New Roman"/>
          <w:sz w:val="20"/>
          <w:u w:val="single"/>
        </w:rPr>
        <w:t>Suspension Event</w:t>
      </w:r>
      <w:r>
        <w:rPr>
          <w:rFonts w:ascii="Times New Roman" w:hAnsi="Times New Roman"/>
          <w:sz w:val="20"/>
        </w:rPr>
        <w:t xml:space="preserve">” has the meaning set forth in </w:t>
      </w:r>
      <w:r>
        <w:rPr>
          <w:rFonts w:ascii="Times New Roman" w:hAnsi="Times New Roman"/>
          <w:sz w:val="20"/>
          <w:u w:val="single"/>
        </w:rPr>
        <w:t>Section 1(f)(ii)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Suspension Notice</w:t>
      </w:r>
      <w:r>
        <w:rPr>
          <w:rFonts w:ascii="Times New Roman" w:hAnsi="Times New Roman"/>
          <w:sz w:val="20"/>
        </w:rPr>
        <w:t xml:space="preserve">” has the meaning set forth in </w:t>
      </w:r>
      <w:r>
        <w:rPr>
          <w:rFonts w:ascii="Times New Roman" w:hAnsi="Times New Roman"/>
          <w:sz w:val="20"/>
          <w:u w:val="single"/>
        </w:rPr>
        <w:t>Section 1(f)(ii)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Suspension Period</w:t>
      </w:r>
      <w:r>
        <w:rPr>
          <w:rFonts w:ascii="Times New Roman" w:hAnsi="Times New Roman"/>
          <w:sz w:val="20"/>
        </w:rPr>
        <w:t xml:space="preserve">” has the meaning set forth in </w:t>
      </w:r>
      <w:r>
        <w:rPr>
          <w:rFonts w:ascii="Times New Roman" w:hAnsi="Times New Roman"/>
          <w:sz w:val="20"/>
          <w:u w:val="single"/>
        </w:rPr>
        <w:t>Section 1(f)(i)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Underwritten Block Trade</w:t>
      </w:r>
      <w:r>
        <w:rPr>
          <w:rFonts w:ascii="Times New Roman" w:hAnsi="Times New Roman"/>
          <w:sz w:val="20"/>
        </w:rPr>
        <w:t xml:space="preserve">” has the meaning set forth in </w:t>
      </w:r>
      <w:r>
        <w:rPr>
          <w:rFonts w:ascii="Times New Roman" w:hAnsi="Times New Roman"/>
          <w:sz w:val="20"/>
          <w:u w:val="single"/>
        </w:rPr>
        <w:t>Section 1(d)(ii)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Violation</w:t>
      </w:r>
      <w:r>
        <w:rPr>
          <w:rFonts w:ascii="Times New Roman" w:hAnsi="Times New Roman"/>
          <w:sz w:val="20"/>
        </w:rPr>
        <w:t xml:space="preserve">” has the meaning set forth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WKSI</w:t>
      </w:r>
      <w:r>
        <w:rPr>
          <w:rFonts w:ascii="Times New Roman" w:hAnsi="Times New Roman"/>
          <w:sz w:val="20"/>
        </w:rPr>
        <w:t xml:space="preserve">” means a “well-known seasoned issuer” as defined under Rule 405.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left"/>
        <w:rPr>
          <w:rFonts w:ascii="Times New Roman" w:hAnsi="Times New Roman"/>
          <w:sz w:val="20"/>
        </w:rPr>
      </w:pPr>
      <w:r>
        <w:rPr>
          <w:rFonts w:ascii="Times New Roman" w:hAnsi="Times New Roman"/>
          <w:sz w:val="20"/>
        </w:rPr>
        <w:t>The undersigned is executing and delivering this Joinder pursuant to the Registration Rights Agreement dated as of __________________, 20__ (as amended, modified and waived from time to time, the “</w:t>
      </w:r>
      <w:r>
        <w:rPr>
          <w:rFonts w:ascii="Times New Roman" w:hAnsi="Times New Roman"/>
          <w:sz w:val="20"/>
          <w:u w:val="single"/>
        </w:rPr>
        <w:t>Registration Rights Agreement</w:t>
      </w:r>
      <w:r>
        <w:rPr>
          <w:rFonts w:ascii="Times New Roman" w:hAnsi="Times New Roman"/>
          <w:sz w:val="20"/>
        </w:rPr>
        <w:t>”), among ITG, Inc., a Delaware corporation (the “</w:t>
      </w:r>
      <w:r>
        <w:rPr>
          <w:rFonts w:ascii="Times New Roman" w:hAnsi="Times New Roman"/>
          <w:sz w:val="20"/>
          <w:u w:val="single"/>
        </w:rPr>
        <w:t>Company</w:t>
      </w:r>
      <w:r>
        <w:rPr>
          <w:rFonts w:ascii="Times New Roman" w:hAnsi="Times New Roman"/>
          <w:sz w:val="20"/>
        </w:rPr>
        <w:t xml:space="preserve">”), and the other persons named as parties therein (including pursuant to other Joinders). Capitalized terms used herein have the meaning set forth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By executing and delivering this Joinder to the Company, the undersigned hereby agrees to become a party to, to be bound by, and to comply with the provisions of, the Registration Rights Agreement as a Holder in the same manner as if the undersigned were an original signatory to the Registration Rights Agreement, and the undersigned will be deemed for all purposes to be a Holder, </w:t>
      </w:r>
      <w:r>
        <w:rPr>
          <w:rFonts w:ascii="Times New Roman" w:hAnsi="Times New Roman"/>
          <w:b/>
          <w:sz w:val="20"/>
        </w:rPr>
        <w:t>[a Sponsor Investor / an Executive / an Other Investor thereunder]</w:t>
      </w:r>
      <w:r>
        <w:rPr>
          <w:rFonts w:ascii="Times New Roman" w:hAnsi="Times New Roman"/>
          <w:sz w:val="20"/>
        </w:rPr>
        <w:t xml:space="preserve"> and the undersigned’s ____ shares of Class A common stock will be deemed for all purposes to be </w:t>
      </w:r>
      <w:r>
        <w:rPr>
          <w:rFonts w:ascii="Times New Roman" w:hAnsi="Times New Roman"/>
          <w:b/>
          <w:sz w:val="20"/>
        </w:rPr>
        <w:t xml:space="preserve">[Sponsor Investor / Executive / Other Investor] </w:t>
      </w:r>
      <w:r>
        <w:rPr>
          <w:rFonts w:ascii="Times New Roman" w:hAnsi="Times New Roman"/>
          <w:sz w:val="20"/>
        </w:rPr>
        <w:t xml:space="preserve">Registrable Securities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undersigned has executed and delivered this Joinder as of the ___ day of ____________, 20___.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Print Name</w:t>
            </w:r>
          </w:p>
        </w:tc>
      </w:tr>
    </w:tbl>
    <w:tbl>
      <w:tblPr>
        <w:tblW w:w="2000" w:type="pct"/>
        <w:jc w:val="right"/>
        <w:tblInd w:w="0" w:type="dxa"/>
        <w:tblLayout w:type="fixed"/>
        <w:tblCellMar>
          <w:top w:w="0" w:type="dxa"/>
          <w:left w:w="0" w:type="dxa"/>
          <w:bottom w:w="0" w:type="dxa"/>
          <w:right w:w="0" w:type="dxa"/>
        </w:tblCellMar>
      </w:tblPr>
      <w:tblGrid>
        <w:gridCol w:w="852"/>
        <w:gridCol w:w="60"/>
        <w:gridCol w:w="3170"/>
      </w:tblGrid>
      <w:tr>
        <w:trPr/>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852" w:type="dxa"/>
            <w:tcBorders/>
            <w:vAlign w:val="center"/>
          </w:tcPr>
          <w:p>
            <w:pPr>
              <w:pStyle w:val="TableContents"/>
              <w:bidi w:val="0"/>
              <w:spacing w:before="0" w:after="283"/>
              <w:jc w:val="left"/>
              <w:rPr>
                <w:sz w:val="4"/>
                <w:szCs w:val="4"/>
              </w:rPr>
            </w:pPr>
            <w:r>
              <w:rPr>
                <w:sz w:val="4"/>
                <w:szCs w:val="4"/>
              </w:rPr>
            </w:r>
          </w:p>
        </w:tc>
        <w:tc>
          <w:tcPr>
            <w:tcW w:w="3230"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60" w:type="dxa"/>
            <w:tcBorders/>
            <w:vAlign w:val="bottom"/>
          </w:tcPr>
          <w:p>
            <w:pPr>
              <w:pStyle w:val="TableContents"/>
              <w:bidi w:val="0"/>
              <w:spacing w:before="0" w:after="283"/>
              <w:jc w:val="left"/>
              <w:rPr/>
            </w:pPr>
            <w:r>
              <w:rPr/>
              <w:t> </w:t>
            </w:r>
          </w:p>
        </w:tc>
        <w:tc>
          <w:tcPr>
            <w:tcW w:w="317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584"/>
        <w:gridCol w:w="302"/>
        <w:gridCol w:w="2196"/>
      </w:tblGrid>
      <w:tr>
        <w:trPr/>
        <w:tc>
          <w:tcPr>
            <w:tcW w:w="1584"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Agreed and accepted as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________________, 20___:</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Inc.</w:t>
            </w:r>
          </w:p>
        </w:tc>
      </w:tr>
      <w:tr>
        <w:trPr>
          <w:trHeight w:val="240" w:hRule="atLeast"/>
        </w:trPr>
        <w:tc>
          <w:tcPr>
            <w:tcW w:w="1584"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r>
      <w:tr>
        <w:trPr/>
        <w:tc>
          <w:tcPr>
            <w:tcW w:w="1584" w:type="dxa"/>
            <w:tcBorders/>
          </w:tcPr>
          <w:p>
            <w:pPr>
              <w:pStyle w:val="TableContents"/>
              <w:bidi w:val="0"/>
              <w:spacing w:before="0" w:after="283"/>
              <w:jc w:val="left"/>
              <w:rPr/>
            </w:pPr>
            <w:r>
              <w:rPr/>
              <w:t>By:</w:t>
            </w:r>
          </w:p>
        </w:tc>
        <w:tc>
          <w:tcPr>
            <w:tcW w:w="302" w:type="dxa"/>
            <w:tcBorders>
              <w:bottom w:val="single" w:sz="2" w:space="0" w:color="000000"/>
            </w:tcBorders>
            <w:tcMar>
              <w:bottom w:w="28" w:type="dxa"/>
            </w:tcMar>
            <w:vAlign w:val="bottom"/>
          </w:tcPr>
          <w:p>
            <w:pPr>
              <w:pStyle w:val="TableContents"/>
              <w:bidi w:val="0"/>
              <w:spacing w:before="0" w:after="283"/>
              <w:jc w:val="left"/>
              <w:rPr/>
            </w:pPr>
            <w:r>
              <w:rPr/>
              <w:t> </w:t>
            </w:r>
          </w:p>
        </w:tc>
        <w:tc>
          <w:tcPr>
            <w:tcW w:w="219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84"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r>
      <w:tr>
        <w:trPr/>
        <w:tc>
          <w:tcPr>
            <w:tcW w:w="1584" w:type="dxa"/>
            <w:tcBorders/>
          </w:tcPr>
          <w:p>
            <w:pPr>
              <w:pStyle w:val="TableContents"/>
              <w:bidi w:val="0"/>
              <w:spacing w:before="0" w:after="283"/>
              <w:jc w:val="left"/>
              <w:rPr/>
            </w:pPr>
            <w:r>
              <w:rPr/>
              <w:t>Its:</w:t>
            </w:r>
          </w:p>
        </w:tc>
        <w:tc>
          <w:tcPr>
            <w:tcW w:w="302" w:type="dxa"/>
            <w:tcBorders>
              <w:bottom w:val="single" w:sz="2" w:space="0" w:color="000000"/>
            </w:tcBorders>
            <w:tcMar>
              <w:bottom w:w="28" w:type="dxa"/>
            </w:tcMar>
            <w:vAlign w:val="bottom"/>
          </w:tcPr>
          <w:p>
            <w:pPr>
              <w:pStyle w:val="TableContents"/>
              <w:bidi w:val="0"/>
              <w:spacing w:before="0" w:after="283"/>
              <w:jc w:val="left"/>
              <w:rPr/>
            </w:pPr>
            <w:r>
              <w:rPr/>
              <w:t> </w:t>
            </w:r>
          </w:p>
        </w:tc>
        <w:tc>
          <w:tcPr>
            <w:tcW w:w="2196"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p>
    <w:p>
      <w:pPr>
        <w:pStyle w:val="TextBody"/>
        <w:bidi w:val="0"/>
        <w:spacing w:before="0" w:after="0"/>
        <w:jc w:val="right"/>
        <w:rPr>
          <w:rFonts w:ascii="Times New Roman" w:hAnsi="Times New Roman"/>
          <w:b/>
          <w:sz w:val="20"/>
        </w:rPr>
      </w:pPr>
      <w:bookmarkStart w:id="13" w:name="d88011dex101.htm"/>
      <w:bookmarkStart w:id="14" w:name="ksd88011dex101"/>
      <w:bookmarkEnd w:id="13"/>
      <w:bookmarkEnd w:id="14"/>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ITG PARENT, LLC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COMPANY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 2026 </w:t>
      </w:r>
    </w:p>
    <w:p>
      <w:pPr>
        <w:pStyle w:val="TextBody"/>
        <w:bidi w:val="0"/>
        <w:spacing w:before="240" w:after="0"/>
        <w:jc w:val="left"/>
        <w:rPr>
          <w:rFonts w:ascii="Times New Roman" w:hAnsi="Times New Roman"/>
          <w:sz w:val="20"/>
        </w:rPr>
      </w:pPr>
      <w:r>
        <w:rPr>
          <w:rFonts w:ascii="Times New Roman" w:hAnsi="Times New Roman"/>
          <w:sz w:val="20"/>
        </w:rPr>
        <w:t xml:space="preserve">THE LIMITED LIABILITY COMPANY INTERESTS REPRESENTED BY THIS SECOND AMENDED AND RESTATED LIMITED LIABILITY COMPANY AGREEMENT HAVE NOT BEEN REGISTERED UNDER THE UNITED STATES SECURITIES ACT OF 1933, AS AMENDED, OR UNDER ANY OTHER APPLICABLE SECURITIES LAWS. SUCH LIMITED LIABILITY COMPANY INTERESTS MAY NOT BE SOLD, ASSIGNED, PLEDGED OR OTHERWISE DISPOSED OF AT ANY TIME WITHOUT EFFECTIVE REGISTRATION UNDER SUCH ACT AND LAWS OR EXEMPTION THEREFROM, AND COMPLIANCE WITH THE OTHER SUBSTANTIAL RESTRICTIONS ON TRANSFERABILITY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THE LIMITED LIABILITY COMPANY INTERESTS REPRESENTED BY THIS SECOND AMENDED AND RESTATED LIMITED LIABILITY COMPANY AGREEMENT ARE ALSO SUBJECT TO ADDITIONAL RESTRICTIONS ON TRANSFER AND REPURCHASE OPTIONS SET FORTH IN THIS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1580" w:type="dxa"/>
        <w:jc w:val="center"/>
        <w:tblInd w:w="0" w:type="dxa"/>
        <w:tblLayout w:type="fixed"/>
        <w:tblCellMar>
          <w:top w:w="0" w:type="dxa"/>
          <w:left w:w="0" w:type="dxa"/>
          <w:bottom w:w="0" w:type="dxa"/>
          <w:right w:w="0" w:type="dxa"/>
        </w:tblCellMar>
      </w:tblPr>
      <w:tblGrid>
        <w:gridCol w:w="1040"/>
        <w:gridCol w:w="60"/>
        <w:gridCol w:w="9980"/>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08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w:t>
            </w:r>
          </w:p>
        </w:tc>
        <w:tc>
          <w:tcPr>
            <w:tcW w:w="60" w:type="dxa"/>
            <w:tcBorders/>
            <w:vAlign w:val="bottom"/>
          </w:tcPr>
          <w:p>
            <w:pPr>
              <w:pStyle w:val="TableContents"/>
              <w:bidi w:val="0"/>
              <w:spacing w:before="0" w:after="283"/>
              <w:jc w:val="left"/>
              <w:rPr/>
            </w:pPr>
            <w:r>
              <w:rPr/>
              <w:t> </w:t>
            </w:r>
          </w:p>
        </w:tc>
      </w:tr>
      <w:tr>
        <w:trPr>
          <w:trHeight w:val="120" w:hRule="atLeast"/>
        </w:trPr>
        <w:tc>
          <w:tcPr>
            <w:tcW w:w="1108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8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ORGANIZATIONAL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15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Formation of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Second Amended and Restated Limited Liability Company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Purpose; Powers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Principal Office; Registered Office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Term</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No State-Law Partnership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108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8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MEMBERS; UNITS; CAPITALIZATION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17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Members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Recapitalization; the Corporation’s Indirect Capital Contributions; the Option Unit Redemptions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Authorization and Issuance of Additional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Repurchase or Redemption of Shares of Class A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Certificates Representing Units; Lost, Stolen or Destroyed Certificates; Registration and Transfer of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Negative Capital Accounts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No Withdrawal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Loans From Members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Corporate Equity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Dividend Reinvestment Plan, Employee Stock Purchase Plan, Equity Incentive Plan or Other Plan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108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8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DISTRIBUTIONS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Distributions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108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8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CAPITAL ACCOUNTS; ALLOCATIONS; 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27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Capital Accounts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Allocations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Regulatory Allocations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Final Allocations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Tax Allocations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42"/>
        <w:gridCol w:w="95"/>
        <w:gridCol w:w="8040"/>
        <w:gridCol w:w="144"/>
        <w:gridCol w:w="60"/>
        <w:gridCol w:w="260"/>
        <w:gridCol w:w="64"/>
      </w:tblGrid>
      <w:tr>
        <w:trPr/>
        <w:tc>
          <w:tcPr>
            <w:tcW w:w="154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04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7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MANAGEMENT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32</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Authority of Manager; Officer Delegation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Actions of the Manager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Resignation; No Removal</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Vacancies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Transactions Between the Company and the Manager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Reimbursement for Expenses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Delegation of Authority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Limitation of Liability of Manager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Investment Company Act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9677" w:type="dxa"/>
            <w:gridSpan w:val="3"/>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967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RIGHTS AND OBLIGATIONS OF MEMBERS AND MANAGER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36</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Limitation of Liability and Duties of Members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Lack of Authority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No Right of Partition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Indemnification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9677" w:type="dxa"/>
            <w:gridSpan w:val="3"/>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967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BOOKS, RECORDS, ACCOUNTING AND REPORTS, AFFIRMATIVE COVENANTS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39</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Records and Accounting</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Fiscal Year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9677" w:type="dxa"/>
            <w:gridSpan w:val="3"/>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967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IX TAX MATTERS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39</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Preparation of Tax Returns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Tax Elections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Tax Controversies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9677" w:type="dxa"/>
            <w:gridSpan w:val="3"/>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967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 RESTRICTIONS ON TRANSFER OF UNITS; CERTAIN TRANSACTIONS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41</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Transfers by Members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Permitted Transfers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Restricted Units Legend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Transfer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Assignee’s Rights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Assignor’s Rights and Obligations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Overriding Provisions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95" w:type="dxa"/>
            <w:tcBorders/>
            <w:vAlign w:val="bottom"/>
          </w:tcPr>
          <w:p>
            <w:pPr>
              <w:pStyle w:val="TableContents"/>
              <w:bidi w:val="0"/>
              <w:spacing w:before="0" w:after="283"/>
              <w:jc w:val="left"/>
              <w:rPr/>
            </w:pPr>
            <w:r>
              <w:rPr/>
              <w:t> </w:t>
            </w:r>
          </w:p>
        </w:tc>
        <w:tc>
          <w:tcPr>
            <w:tcW w:w="8040" w:type="dxa"/>
            <w:tcBorders/>
            <w:vAlign w:val="bottom"/>
          </w:tcPr>
          <w:p>
            <w:pPr>
              <w:pStyle w:val="TableContents"/>
              <w:bidi w:val="0"/>
              <w:spacing w:before="0" w:after="283"/>
              <w:jc w:val="left"/>
              <w:rPr/>
            </w:pPr>
            <w:r>
              <w:rPr/>
              <w:t>Certain Transactions with respect to the Corporation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61"/>
        <w:gridCol w:w="61"/>
        <w:gridCol w:w="8479"/>
        <w:gridCol w:w="121"/>
        <w:gridCol w:w="60"/>
        <w:gridCol w:w="260"/>
        <w:gridCol w:w="63"/>
      </w:tblGrid>
      <w:tr>
        <w:trPr/>
        <w:tc>
          <w:tcPr>
            <w:tcW w:w="11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84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Unvested Units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9701" w:type="dxa"/>
            <w:gridSpan w:val="3"/>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970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 REDEMPTION AND DIRECT EXCHANGE RIGHTS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48</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Redemption Right of a Member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Election and Contribution of the Corporation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Direct Exchange Right of the Corporation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Reservation of Shares of Class A Common Stock; Listing; Certificate of the Corporation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Effect of Exercise of Redemption or Direct Exchange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Tax Treatment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Management Holdings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120" w:hRule="atLeast"/>
        </w:trPr>
        <w:tc>
          <w:tcPr>
            <w:tcW w:w="9701" w:type="dxa"/>
            <w:gridSpan w:val="3"/>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970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XII ADMISSION OF MEMBERS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56</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Substituted Members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Additional Members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701" w:type="dxa"/>
            <w:gridSpan w:val="3"/>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970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XIII WITHDRAWAL AND RESIGNATION; TERMINATION OF RIGHTS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57</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Withdrawal and Resignation of Members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701" w:type="dxa"/>
            <w:gridSpan w:val="3"/>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970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XIV DISSOLUTION AND LIQUIDATION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57</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Dissolution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Winding up</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Deferment; Distribution in Kind</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Cancellation of Certificate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Reasonable Time for Winding Up</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Return of Capital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701" w:type="dxa"/>
            <w:gridSpan w:val="3"/>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970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XV GENERAL PROVISIONS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59</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Confidentiality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Amendments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Title to Company Assets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Addresses and Notices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Binding Effect; Intended Beneficiaries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Creditors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Waiver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15.08.</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Counterparts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15.09.</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Applicable Law</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1161"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0"/>
              <w:jc w:val="left"/>
              <w:rPr>
                <w:rFonts w:ascii="Times New Roman" w:hAnsi="Times New Roman"/>
                <w:sz w:val="20"/>
              </w:rPr>
            </w:pPr>
            <w:r>
              <w:rPr>
                <w:rFonts w:ascii="Times New Roman" w:hAnsi="Times New Roman"/>
                <w:sz w:val="20"/>
              </w:rPr>
              <w:t>Section 15.10.</w:t>
            </w:r>
          </w:p>
        </w:tc>
        <w:tc>
          <w:tcPr>
            <w:tcW w:w="61" w:type="dxa"/>
            <w:tcBorders/>
            <w:vAlign w:val="bottom"/>
          </w:tcPr>
          <w:p>
            <w:pPr>
              <w:pStyle w:val="TableContents"/>
              <w:bidi w:val="0"/>
              <w:spacing w:before="0" w:after="283"/>
              <w:jc w:val="left"/>
              <w:rPr/>
            </w:pPr>
            <w:r>
              <w:rPr/>
              <w:t> </w:t>
            </w:r>
          </w:p>
        </w:tc>
        <w:tc>
          <w:tcPr>
            <w:tcW w:w="8479" w:type="dxa"/>
            <w:tcBorders/>
            <w:vAlign w:val="bottom"/>
          </w:tcPr>
          <w:p>
            <w:pPr>
              <w:pStyle w:val="TableContents"/>
              <w:bidi w:val="0"/>
              <w:spacing w:before="0" w:after="283"/>
              <w:jc w:val="left"/>
              <w:rPr/>
            </w:pPr>
            <w:r>
              <w:rPr/>
              <w:t>Waiver of Jury Trial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03"/>
        <w:gridCol w:w="74"/>
        <w:gridCol w:w="8315"/>
        <w:gridCol w:w="130"/>
        <w:gridCol w:w="60"/>
        <w:gridCol w:w="260"/>
        <w:gridCol w:w="63"/>
      </w:tblGrid>
      <w:tr>
        <w:trPr/>
        <w:tc>
          <w:tcPr>
            <w:tcW w:w="1303"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31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15.11.</w:t>
            </w:r>
          </w:p>
        </w:tc>
        <w:tc>
          <w:tcPr>
            <w:tcW w:w="74"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Severability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15.12.</w:t>
            </w:r>
          </w:p>
        </w:tc>
        <w:tc>
          <w:tcPr>
            <w:tcW w:w="74"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Further Action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15.13.</w:t>
            </w:r>
          </w:p>
        </w:tc>
        <w:tc>
          <w:tcPr>
            <w:tcW w:w="74"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Execution and Delivery by Electronic Signature and Electronic Transmission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15.14.</w:t>
            </w:r>
          </w:p>
        </w:tc>
        <w:tc>
          <w:tcPr>
            <w:tcW w:w="74"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Entire Agreement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15.15.</w:t>
            </w:r>
          </w:p>
        </w:tc>
        <w:tc>
          <w:tcPr>
            <w:tcW w:w="74"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Remedies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15.16.</w:t>
            </w:r>
          </w:p>
        </w:tc>
        <w:tc>
          <w:tcPr>
            <w:tcW w:w="74"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Descriptive Headings; Interpretation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Schedules </w:t>
      </w:r>
    </w:p>
    <w:p>
      <w:pPr>
        <w:pStyle w:val="TextBody"/>
        <w:bidi w:val="0"/>
        <w:spacing w:before="120" w:after="0"/>
        <w:jc w:val="left"/>
        <w:rPr>
          <w:rFonts w:ascii="Times New Roman" w:hAnsi="Times New Roman"/>
          <w:sz w:val="20"/>
        </w:rPr>
      </w:pPr>
      <w:r>
        <w:rPr>
          <w:rFonts w:ascii="Times New Roman" w:hAnsi="Times New Roman"/>
          <w:sz w:val="20"/>
        </w:rPr>
        <w:t xml:space="preserve">Schedule 1 - Schedule of Pre-IPO Members </w:t>
      </w:r>
    </w:p>
    <w:p>
      <w:pPr>
        <w:pStyle w:val="TextBody"/>
        <w:bidi w:val="0"/>
        <w:spacing w:before="0" w:after="0"/>
        <w:jc w:val="left"/>
        <w:rPr>
          <w:rFonts w:ascii="Times New Roman" w:hAnsi="Times New Roman"/>
          <w:sz w:val="20"/>
        </w:rPr>
      </w:pPr>
      <w:r>
        <w:rPr>
          <w:rFonts w:ascii="Times New Roman" w:hAnsi="Times New Roman"/>
          <w:sz w:val="20"/>
        </w:rPr>
        <w:t xml:space="preserve">Schedule 2 - Schedule of Members </w:t>
      </w:r>
    </w:p>
    <w:p>
      <w:pPr>
        <w:pStyle w:val="TextBody"/>
        <w:bidi w:val="0"/>
        <w:spacing w:before="0" w:after="0"/>
        <w:jc w:val="left"/>
        <w:rPr>
          <w:rFonts w:ascii="Times New Roman" w:hAnsi="Times New Roman"/>
          <w:sz w:val="20"/>
        </w:rPr>
      </w:pPr>
      <w:r>
        <w:rPr>
          <w:rFonts w:ascii="Times New Roman" w:hAnsi="Times New Roman"/>
          <w:sz w:val="20"/>
        </w:rPr>
        <w:t xml:space="preserve">Schedule 3 - Initial Officers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120" w:after="0"/>
        <w:jc w:val="left"/>
        <w:rPr>
          <w:rFonts w:ascii="Times New Roman" w:hAnsi="Times New Roman"/>
          <w:sz w:val="20"/>
        </w:rPr>
      </w:pPr>
      <w:r>
        <w:rPr>
          <w:rFonts w:ascii="Times New Roman" w:hAnsi="Times New Roman"/>
          <w:sz w:val="20"/>
        </w:rPr>
        <w:t xml:space="preserve">Exhibit A – Form of Joinder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ITG PARENT, LLC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COMPANY AGREEMENT </w:t>
      </w:r>
    </w:p>
    <w:p>
      <w:pPr>
        <w:pStyle w:val="TextBody"/>
        <w:bidi w:val="0"/>
        <w:spacing w:before="240" w:after="0"/>
        <w:jc w:val="left"/>
        <w:rPr>
          <w:rFonts w:ascii="Times New Roman" w:hAnsi="Times New Roman"/>
          <w:sz w:val="20"/>
        </w:rPr>
      </w:pPr>
      <w:r>
        <w:rPr>
          <w:rFonts w:ascii="Times New Roman" w:hAnsi="Times New Roman"/>
          <w:sz w:val="20"/>
        </w:rPr>
        <w:t>This SECOND AMENDED AND RESTATED LIMITED LIABILITY COMPANY AGREEMENT (as the same may be amended, restated, amended and restated, supplemented or otherwise modified from time to time, this “</w:t>
      </w:r>
      <w:r>
        <w:rPr>
          <w:rFonts w:ascii="Times New Roman" w:hAnsi="Times New Roman"/>
          <w:b/>
          <w:i/>
          <w:sz w:val="20"/>
        </w:rPr>
        <w:t>Agreement</w:t>
      </w:r>
      <w:r>
        <w:rPr>
          <w:rFonts w:ascii="Times New Roman" w:hAnsi="Times New Roman"/>
          <w:sz w:val="20"/>
        </w:rPr>
        <w:t>”</w:t>
      </w:r>
      <w:r>
        <w:rPr>
          <w:rFonts w:ascii="Times New Roman" w:hAnsi="Times New Roman"/>
          <w:i/>
          <w:sz w:val="20"/>
        </w:rPr>
        <w:t xml:space="preserve">) </w:t>
      </w:r>
      <w:r>
        <w:rPr>
          <w:rFonts w:ascii="Times New Roman" w:hAnsi="Times New Roman"/>
          <w:sz w:val="20"/>
        </w:rPr>
        <w:t>of ITG Parent, LLC, a Delaware limited liability company (the “</w:t>
      </w:r>
      <w:r>
        <w:rPr>
          <w:rFonts w:ascii="Times New Roman" w:hAnsi="Times New Roman"/>
          <w:b/>
          <w:i/>
          <w:sz w:val="20"/>
        </w:rPr>
        <w:t>Company</w:t>
      </w:r>
      <w:r>
        <w:rPr>
          <w:rFonts w:ascii="Times New Roman" w:hAnsi="Times New Roman"/>
          <w:sz w:val="20"/>
        </w:rPr>
        <w:t>”</w:t>
      </w:r>
      <w:r>
        <w:rPr>
          <w:rFonts w:ascii="Times New Roman" w:hAnsi="Times New Roman"/>
          <w:i/>
          <w:sz w:val="20"/>
        </w:rPr>
        <w:t xml:space="preserve">), </w:t>
      </w:r>
      <w:r>
        <w:rPr>
          <w:rFonts w:ascii="Times New Roman" w:hAnsi="Times New Roman"/>
          <w:sz w:val="20"/>
        </w:rPr>
        <w:t>dated as of July 1, 2026 (the “</w:t>
      </w:r>
      <w:r>
        <w:rPr>
          <w:rFonts w:ascii="Times New Roman" w:hAnsi="Times New Roman"/>
          <w:b/>
          <w:i/>
          <w:sz w:val="20"/>
        </w:rPr>
        <w:t>Effective Date</w:t>
      </w:r>
      <w:r>
        <w:rPr>
          <w:rFonts w:ascii="Times New Roman" w:hAnsi="Times New Roman"/>
          <w:sz w:val="20"/>
        </w:rPr>
        <w:t>”</w:t>
      </w:r>
      <w:r>
        <w:rPr>
          <w:rFonts w:ascii="Times New Roman" w:hAnsi="Times New Roman"/>
          <w:i/>
          <w:sz w:val="20"/>
        </w:rPr>
        <w:t xml:space="preserve">), </w:t>
      </w:r>
      <w:r>
        <w:rPr>
          <w:rFonts w:ascii="Times New Roman" w:hAnsi="Times New Roman"/>
          <w:sz w:val="20"/>
        </w:rPr>
        <w:t>is entered into by and among the Company, ITG, Inc., a Delaware corporation (the “</w:t>
      </w:r>
      <w:r>
        <w:rPr>
          <w:rFonts w:ascii="Times New Roman" w:hAnsi="Times New Roman"/>
          <w:b/>
          <w:i/>
          <w:sz w:val="20"/>
        </w:rPr>
        <w:t>Corporation</w:t>
      </w:r>
      <w:r>
        <w:rPr>
          <w:rFonts w:ascii="Times New Roman" w:hAnsi="Times New Roman"/>
          <w:sz w:val="20"/>
        </w:rPr>
        <w:t>”), ITG Intermediate, LLC, a Delaware limited liability company (“</w:t>
      </w:r>
      <w:r>
        <w:rPr>
          <w:rFonts w:ascii="Times New Roman" w:hAnsi="Times New Roman"/>
          <w:b/>
          <w:i/>
          <w:sz w:val="20"/>
        </w:rPr>
        <w:t>Intermediate</w:t>
      </w:r>
      <w:r>
        <w:rPr>
          <w:rFonts w:ascii="Times New Roman" w:hAnsi="Times New Roman"/>
          <w:sz w:val="20"/>
        </w:rPr>
        <w:t>”), as the managing member of the Company, ITG Management Holdings, LLC, a Delaware limited liability company (“</w:t>
      </w:r>
      <w:r>
        <w:rPr>
          <w:rFonts w:ascii="Times New Roman" w:hAnsi="Times New Roman"/>
          <w:b/>
          <w:i/>
          <w:sz w:val="20"/>
        </w:rPr>
        <w:t>Management Holdings</w:t>
      </w:r>
      <w:r>
        <w:rPr>
          <w:rFonts w:ascii="Times New Roman" w:hAnsi="Times New Roman"/>
          <w:sz w:val="20"/>
        </w:rPr>
        <w:t xml:space="preserve">”), and each of the other Members (as defined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unless the context otherwise requires, capitalized terms used herein have the respective meaning ascribed to them in </w:t>
      </w:r>
      <w:r>
        <w:rPr>
          <w:rFonts w:ascii="Times New Roman" w:hAnsi="Times New Roman"/>
          <w:sz w:val="20"/>
          <w:u w:val="single"/>
        </w:rPr>
        <w:t>Article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was formed as a limited liability company with the name “ITG Parent, LLC”, pursuant to and in accordance with the Delaware Act by the filing of the Certificate with the Secretary of State of the State of Delaware pursuant to Section 18-201 of the Delaware Act on December 16, 2021; </w:t>
      </w:r>
    </w:p>
    <w:p>
      <w:pPr>
        <w:pStyle w:val="TextBody"/>
        <w:bidi w:val="0"/>
        <w:spacing w:before="240" w:after="0"/>
        <w:jc w:val="left"/>
        <w:rPr>
          <w:rFonts w:ascii="Times New Roman" w:hAnsi="Times New Roman"/>
          <w:sz w:val="20"/>
        </w:rPr>
      </w:pPr>
      <w:r>
        <w:rPr>
          <w:rFonts w:ascii="Times New Roman" w:hAnsi="Times New Roman"/>
          <w:sz w:val="20"/>
        </w:rPr>
        <w:t>WHEREAS, prior to the IPO (as defined herein), the Company was governed by that certain Amended and Restated Limited Liability Company Agreement of the Company, effective as of December 30, 2021 (as amended, restated, amended and restated, supplemented or otherwise modified from time to time, together with all schedules, exhibits and annexes thereto, the “</w:t>
      </w:r>
      <w:r>
        <w:rPr>
          <w:rFonts w:ascii="Times New Roman" w:hAnsi="Times New Roman"/>
          <w:b/>
          <w:i/>
          <w:sz w:val="20"/>
        </w:rPr>
        <w:t>Initial LLC Agreement</w:t>
      </w:r>
      <w:r>
        <w:rPr>
          <w:rFonts w:ascii="Times New Roman" w:hAnsi="Times New Roman"/>
          <w:sz w:val="20"/>
        </w:rPr>
        <w:t xml:space="preserve">”), among certain of the existing members of the Company listed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WHEREAS, in connection with the IPO, the Company, the Corporation and various other parties have agreed to consummate certain transactions (the “</w:t>
      </w:r>
      <w:r>
        <w:rPr>
          <w:rFonts w:ascii="Times New Roman" w:hAnsi="Times New Roman"/>
          <w:b/>
          <w:i/>
          <w:sz w:val="20"/>
        </w:rPr>
        <w:t>Reorganization</w:t>
      </w:r>
      <w:r>
        <w:rPr>
          <w:rFonts w:ascii="Times New Roman" w:hAnsi="Times New Roman"/>
          <w:sz w:val="20"/>
        </w:rPr>
        <w:t>”), including (i) the liquidation of ITG Splitter, L.P., a Delaware limited partnership (“</w:t>
      </w:r>
      <w:r>
        <w:rPr>
          <w:rFonts w:ascii="Times New Roman" w:hAnsi="Times New Roman"/>
          <w:b/>
          <w:i/>
          <w:sz w:val="20"/>
        </w:rPr>
        <w:t>Splitter</w:t>
      </w:r>
      <w:r>
        <w:rPr>
          <w:rFonts w:ascii="Times New Roman" w:hAnsi="Times New Roman"/>
          <w:sz w:val="20"/>
        </w:rPr>
        <w:t>”), and the distribution of certain of its assets (including its Original Units (as defined herein)) to its partners, including Oaktree Power Opportunities Fund VI Master Holdings (Delaware), L.P., a Delaware limited partnership (“</w:t>
      </w:r>
      <w:r>
        <w:rPr>
          <w:rFonts w:ascii="Times New Roman" w:hAnsi="Times New Roman"/>
          <w:b/>
          <w:i/>
          <w:sz w:val="20"/>
        </w:rPr>
        <w:t>OPOF VI</w:t>
      </w:r>
      <w:r>
        <w:rPr>
          <w:rFonts w:ascii="Times New Roman" w:hAnsi="Times New Roman"/>
          <w:sz w:val="20"/>
        </w:rPr>
        <w:t>”), Oaktree Fund AIF Series, L.P. – Series W, a Delaware limited partnership (“</w:t>
      </w:r>
      <w:r>
        <w:rPr>
          <w:rFonts w:ascii="Times New Roman" w:hAnsi="Times New Roman"/>
          <w:b/>
          <w:i/>
          <w:sz w:val="20"/>
        </w:rPr>
        <w:t>GP DE AIF</w:t>
      </w:r>
      <w:r>
        <w:rPr>
          <w:rFonts w:ascii="Times New Roman" w:hAnsi="Times New Roman"/>
          <w:sz w:val="20"/>
        </w:rPr>
        <w:t>”), ITG Blocker, LLC, a Delaware limited liability company (“</w:t>
      </w:r>
      <w:r>
        <w:rPr>
          <w:rFonts w:ascii="Times New Roman" w:hAnsi="Times New Roman"/>
          <w:b/>
          <w:i/>
          <w:sz w:val="20"/>
        </w:rPr>
        <w:t>Blocker</w:t>
      </w:r>
      <w:r>
        <w:rPr>
          <w:rFonts w:ascii="Times New Roman" w:hAnsi="Times New Roman"/>
          <w:sz w:val="20"/>
        </w:rPr>
        <w:t>”), and Oaktree Fund AIF Series (Cayman), L.P. – Series R, a Cayman Islands exempted limited partnership (“</w:t>
      </w:r>
      <w:r>
        <w:rPr>
          <w:rFonts w:ascii="Times New Roman" w:hAnsi="Times New Roman"/>
          <w:b/>
          <w:i/>
          <w:sz w:val="20"/>
        </w:rPr>
        <w:t>GP Cayman AIF</w:t>
      </w:r>
      <w:r>
        <w:rPr>
          <w:rFonts w:ascii="Times New Roman" w:hAnsi="Times New Roman"/>
          <w:sz w:val="20"/>
        </w:rPr>
        <w:t>”) and subsequent contributions by (a) GP Cayman AIF of its Original Units to OPOF VI and (b) OPOF VI and GP DE AIF of their Original Units to OCM ITG Aggregator, LLC, a Delaware limited liability company (“</w:t>
      </w:r>
      <w:r>
        <w:rPr>
          <w:rFonts w:ascii="Times New Roman" w:hAnsi="Times New Roman"/>
          <w:b/>
          <w:i/>
          <w:sz w:val="20"/>
        </w:rPr>
        <w:t>Aggregator</w:t>
      </w:r>
      <w:r>
        <w:rPr>
          <w:rFonts w:ascii="Times New Roman" w:hAnsi="Times New Roman"/>
          <w:sz w:val="20"/>
        </w:rPr>
        <w:t>” and together with Blocker, the “</w:t>
      </w:r>
      <w:r>
        <w:rPr>
          <w:rFonts w:ascii="Times New Roman" w:hAnsi="Times New Roman"/>
          <w:b/>
          <w:i/>
          <w:sz w:val="20"/>
        </w:rPr>
        <w:t>Splitter Members</w:t>
      </w:r>
      <w:r>
        <w:rPr>
          <w:rFonts w:ascii="Times New Roman" w:hAnsi="Times New Roman"/>
          <w:sz w:val="20"/>
        </w:rPr>
        <w:t>”), pursuant to which the Splitter Members will become Members (the “</w:t>
      </w:r>
      <w:r>
        <w:rPr>
          <w:rFonts w:ascii="Times New Roman" w:hAnsi="Times New Roman"/>
          <w:b/>
          <w:i/>
          <w:sz w:val="20"/>
        </w:rPr>
        <w:t>Splitter Liquidation</w:t>
      </w:r>
      <w:r>
        <w:rPr>
          <w:rFonts w:ascii="Times New Roman" w:hAnsi="Times New Roman"/>
          <w:sz w:val="20"/>
        </w:rPr>
        <w:t>”), (ii) the contribution by Aggregator and Management Holdings of nominal cash to the Corporation in exchange for Class B Common Stock (as defined herein), and (iii) (A) the merger of ITG Intermediate 2, LLC, a Delaware limited liability company with and into the Blocker, with the Blocker surviving such merger and (B), immediately thereafter, the merger of Blocker with and into Intermediate, with Intermediate surviving such merger (collectively, the “</w:t>
      </w:r>
      <w:r>
        <w:rPr>
          <w:rFonts w:ascii="Times New Roman" w:hAnsi="Times New Roman"/>
          <w:b/>
          <w:i/>
          <w:sz w:val="20"/>
        </w:rPr>
        <w:t>Blocker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simultaneously with and contingent upon the consummation of the Reorganization, but immediately prior to the Blocker Mergers, the Company will convert all of the Original Units into Common Units (as defined herein) (the “</w:t>
      </w:r>
      <w:r>
        <w:rPr>
          <w:rFonts w:ascii="Times New Roman" w:hAnsi="Times New Roman"/>
          <w:b/>
          <w:i/>
          <w:sz w:val="20"/>
        </w:rPr>
        <w:t>Recapitalization</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as provided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w:t>
      </w:r>
      <w:r>
        <w:rPr>
          <w:rFonts w:ascii="Times New Roman" w:hAnsi="Times New Roman"/>
          <w:sz w:val="20"/>
          <w:u w:val="single"/>
        </w:rPr>
        <w:t>Schedule 1</w:t>
      </w:r>
      <w:r>
        <w:rPr>
          <w:rFonts w:ascii="Times New Roman" w:hAnsi="Times New Roman"/>
          <w:sz w:val="20"/>
        </w:rPr>
        <w:t xml:space="preserve"> hereto sets forth the name and respective Common Units of each Member as of immediately following the Reorganization and Recapitalization (such Members, the “</w:t>
      </w:r>
      <w:r>
        <w:rPr>
          <w:rFonts w:ascii="Times New Roman" w:hAnsi="Times New Roman"/>
          <w:b/>
          <w:i/>
          <w:sz w:val="20"/>
        </w:rPr>
        <w:t>Pre-IPO Members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Corporation will contribute the net proceeds that it receives from the IPO (the “</w:t>
      </w:r>
      <w:r>
        <w:rPr>
          <w:rFonts w:ascii="Times New Roman" w:hAnsi="Times New Roman"/>
          <w:b/>
          <w:i/>
          <w:sz w:val="20"/>
        </w:rPr>
        <w:t>IPO Net Proceeds</w:t>
      </w:r>
      <w:r>
        <w:rPr>
          <w:rFonts w:ascii="Times New Roman" w:hAnsi="Times New Roman"/>
          <w:sz w:val="20"/>
        </w:rPr>
        <w:t>”</w:t>
      </w:r>
      <w:r>
        <w:rPr>
          <w:rFonts w:ascii="Times New Roman" w:hAnsi="Times New Roman"/>
          <w:i/>
          <w:sz w:val="20"/>
        </w:rPr>
        <w:t>)</w:t>
      </w:r>
      <w:r>
        <w:rPr>
          <w:rFonts w:ascii="Times New Roman" w:hAnsi="Times New Roman"/>
          <w:sz w:val="20"/>
        </w:rPr>
        <w:t xml:space="preserve"> to Intermediate, which will contribute such IPO Net Proceeds to the Company in exchange for Common Units, and such IPO Net Proceeds would be used by the Company and its Subsidiaries to repay certain amounts under its revolving credit facility and term loan facility, and to the extent of any remaining IPO Net Proceeds, for general corporate purposes to support the growth of the business (“</w:t>
      </w:r>
      <w:r>
        <w:rPr>
          <w:rFonts w:ascii="Times New Roman" w:hAnsi="Times New Roman"/>
          <w:b/>
          <w:i/>
          <w:sz w:val="20"/>
        </w:rPr>
        <w:t>Debt Paydown and Corporate Purposes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foregoing matters, the Company and the Members desire to continue the Company without dissolution and, simultaneously with but contingent upon the consummation of the Reorganization, amend and restate the Initial LLC Agreement in its entirety as of the Effective Date to reflect, among other things, (a) the Recapitalization, (b) the addition of the Splitter Members as Members, (c) the designation of the Blocker (and subsequently Intermediate as successor to the Blocker as a result of the Blocker Mergers) as sole Manager of the Company and (d) the other rights and obligations of the Members, the Company and the Manager, in each case, as provided and agreed upon in the terms of this Agreement as of the Effective Date, at which time the Initial LLC Agreement shall be superseded entirely by this Agreement and shall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and other good and valuable consideration, the receipt and sufficiency of which are hereby acknowledged, the Initial LLC Agreement is hereby amended and restated in its entirety and the Company, Intermediate and the other Members, each intending to be legally bound, each hereby agrees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definitions shall be applied to the terms used in this Agreement for all purposes, unless otherwise clearly indicated to the contrary. </w:t>
      </w:r>
    </w:p>
    <w:p>
      <w:pPr>
        <w:pStyle w:val="TextBody"/>
        <w:bidi w:val="0"/>
        <w:spacing w:before="240" w:after="0"/>
        <w:jc w:val="left"/>
        <w:rPr/>
      </w:pPr>
      <w:r>
        <w:rPr/>
        <w:t>“</w:t>
      </w:r>
      <w:r>
        <w:rPr>
          <w:rFonts w:ascii="Times New Roman" w:hAnsi="Times New Roman"/>
          <w:b/>
          <w:i/>
          <w:sz w:val="20"/>
        </w:rPr>
        <w:t>Additional Member</w:t>
      </w:r>
      <w:r>
        <w:rPr>
          <w:rFonts w:ascii="Times New Roman" w:hAnsi="Times New Roman"/>
          <w:sz w:val="20"/>
        </w:rPr>
        <w:t xml:space="preserve">” has the meaning set forth in </w:t>
      </w:r>
      <w:r>
        <w:rPr>
          <w:rFonts w:ascii="Times New Roman" w:hAnsi="Times New Roman"/>
          <w:sz w:val="20"/>
          <w:u w:val="single"/>
        </w:rPr>
        <w:t>Section 12.02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Adjusted Capital Account Deficit</w:t>
      </w:r>
      <w:r>
        <w:rPr>
          <w:rFonts w:ascii="Times New Roman" w:hAnsi="Times New Roman"/>
          <w:sz w:val="20"/>
        </w:rPr>
        <w:t xml:space="preserve">” means, with respect to the Capital Account of any Member as of the end of any Taxable Year, the amount by which the balance in such Capital Account is less than zero. For this purpose, such Member’s Capital Account balance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for any items described in Treasury Regulations Section 1.704-1(b)(2)(ii)(d)(4), (5), and (6);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for any amount such Member is obligated to contribute or is treated as being obligated to contribute to the Company pursuant to Treasury Regulations Section 1.704-1(b)(2)(ii)(c) (relating to partner liabilities to a partnership) or 1.704-2(g)(1) and 1.704-2(i) (relating to minimum gain). </w:t>
            </w:r>
          </w:p>
        </w:tc>
      </w:tr>
    </w:tbl>
    <w:p>
      <w:pPr>
        <w:pStyle w:val="TextBody"/>
        <w:bidi w:val="0"/>
        <w:spacing w:before="240" w:after="0"/>
        <w:jc w:val="left"/>
        <w:rPr/>
      </w:pPr>
      <w:r>
        <w:rPr/>
        <w:t>“</w:t>
      </w:r>
      <w:r>
        <w:rPr>
          <w:rFonts w:ascii="Times New Roman" w:hAnsi="Times New Roman"/>
          <w:b/>
          <w:i/>
          <w:sz w:val="20"/>
        </w:rPr>
        <w:t>Admission Date</w:t>
      </w:r>
      <w:r>
        <w:rPr>
          <w:rFonts w:ascii="Times New Roman" w:hAnsi="Times New Roman"/>
          <w:sz w:val="20"/>
        </w:rPr>
        <w:t xml:space="preserve">” has the meaning set forth in </w:t>
      </w:r>
      <w:r>
        <w:rPr>
          <w:rFonts w:ascii="Times New Roman" w:hAnsi="Times New Roman"/>
          <w:sz w:val="20"/>
          <w:u w:val="single"/>
        </w:rPr>
        <w:t>Section 10.06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(and, with a correlative meaning, “</w:t>
      </w:r>
      <w:r>
        <w:rPr>
          <w:rFonts w:ascii="Times New Roman" w:hAnsi="Times New Roman"/>
          <w:b/>
          <w:i/>
          <w:sz w:val="20"/>
        </w:rPr>
        <w:t>Affiliated</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means, with respect to a specified Person, each other Person that directly, or indirectly through one or more intermediaries, controls or is controlled by, or is under common control with, the Person specified. As used in this definition, “control” (including with correlative meanings, “controlled by” and “under common control with”) means possession, directly or indirectly, of power to direct or cause the direction of management or policies (whether through ownership of voting securities or by contract or other agreement).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i/>
          <w:sz w:val="20"/>
        </w:rPr>
        <w:t>Assignee</w:t>
      </w:r>
      <w:r>
        <w:rPr>
          <w:rFonts w:ascii="Times New Roman" w:hAnsi="Times New Roman"/>
          <w:sz w:val="20"/>
        </w:rPr>
        <w:t xml:space="preserve">” means a Person to whom a Unit has been transferred but who has not become a Member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Assumed Tax Liability</w:t>
      </w:r>
      <w:r>
        <w:rPr>
          <w:rFonts w:ascii="Times New Roman" w:hAnsi="Times New Roman"/>
          <w:sz w:val="20"/>
        </w:rPr>
        <w:t xml:space="preserve">” means, with respect to any Member, an amount equal to the excess of (i) the product of (A) the Distribution Tax Rate </w:t>
      </w:r>
      <w:r>
        <w:rPr>
          <w:rFonts w:ascii="Times New Roman" w:hAnsi="Times New Roman"/>
          <w:i/>
          <w:sz w:val="20"/>
        </w:rPr>
        <w:t xml:space="preserve">multiplied by </w:t>
      </w:r>
      <w:r>
        <w:rPr>
          <w:rFonts w:ascii="Times New Roman" w:hAnsi="Times New Roman"/>
          <w:sz w:val="20"/>
        </w:rPr>
        <w:t xml:space="preserve">(B) the estimated or actual cumulative taxable income or gain of the Company, as determined for federal income tax purposes, allocated to such Member for full or partial Taxable Years commencing on or after the Effective Date, </w:t>
      </w:r>
      <w:r>
        <w:rPr>
          <w:rFonts w:ascii="Times New Roman" w:hAnsi="Times New Roman"/>
          <w:i/>
          <w:sz w:val="20"/>
        </w:rPr>
        <w:t xml:space="preserve">less </w:t>
      </w:r>
      <w:r>
        <w:rPr>
          <w:rFonts w:ascii="Times New Roman" w:hAnsi="Times New Roman"/>
          <w:sz w:val="20"/>
        </w:rPr>
        <w:t xml:space="preserve">prior losses of the Company allocated to such Member for full or partial Taxable Years commencing on or after the Effective Date and to the extent such prior losses are available to reduce such income, in each case, as reasonably determined by the Manager in consultation with the Oaktree Representative </w:t>
      </w:r>
      <w:r>
        <w:rPr>
          <w:rFonts w:ascii="Times New Roman" w:hAnsi="Times New Roman"/>
          <w:i/>
          <w:sz w:val="20"/>
        </w:rPr>
        <w:t xml:space="preserve">over </w:t>
      </w:r>
      <w:r>
        <w:rPr>
          <w:rFonts w:ascii="Times New Roman" w:hAnsi="Times New Roman"/>
          <w:sz w:val="20"/>
        </w:rPr>
        <w:t xml:space="preserve">(ii) the cumulative Tax Distributions made to such Member after the closing date of the IPO pursuant to </w:t>
      </w:r>
      <w:r>
        <w:rPr>
          <w:rFonts w:ascii="Times New Roman" w:hAnsi="Times New Roman"/>
          <w:sz w:val="20"/>
          <w:u w:val="single"/>
        </w:rPr>
        <w:t>Sections 4.01(b)(i)</w:t>
      </w:r>
      <w:r>
        <w:rPr>
          <w:rFonts w:ascii="Times New Roman" w:hAnsi="Times New Roman"/>
          <w:sz w:val="20"/>
        </w:rPr>
        <w:t xml:space="preserve">, </w:t>
      </w:r>
      <w:r>
        <w:rPr>
          <w:rFonts w:ascii="Times New Roman" w:hAnsi="Times New Roman"/>
          <w:sz w:val="20"/>
          <w:u w:val="single"/>
        </w:rPr>
        <w:t>4.01(b)(ii)</w:t>
      </w:r>
      <w:r>
        <w:rPr>
          <w:rFonts w:ascii="Times New Roman" w:hAnsi="Times New Roman"/>
          <w:sz w:val="20"/>
        </w:rPr>
        <w:t xml:space="preserve"> and </w:t>
      </w:r>
      <w:r>
        <w:rPr>
          <w:rFonts w:ascii="Times New Roman" w:hAnsi="Times New Roman"/>
          <w:sz w:val="20"/>
          <w:u w:val="single"/>
        </w:rPr>
        <w:t>4.01(b)(iii)</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in the case of the Corporation and Intermediate, such Assumed Tax Liability (x) shall be computed without regard to any increases to the tax basis of the Company’s property pursuant to Sections 734(b) or 743(b) of the Code and (y) shall in no event be less than an amount (taken together) that will enable the Corporation to meet both its tax obligations and its obligations pursuant to the Tax Receivable Agreement for the relevant Taxable Year; </w:t>
      </w:r>
      <w:r>
        <w:rPr>
          <w:rFonts w:ascii="Times New Roman" w:hAnsi="Times New Roman"/>
          <w:i/>
          <w:sz w:val="20"/>
        </w:rPr>
        <w:t xml:space="preserve">provided further </w:t>
      </w:r>
      <w:r>
        <w:rPr>
          <w:rFonts w:ascii="Times New Roman" w:hAnsi="Times New Roman"/>
          <w:sz w:val="20"/>
        </w:rPr>
        <w:t xml:space="preserve">that, in the case of each Member, and for the avoidance of doubt, such Assumed Tax Liability shall take into account any Code Section 704(c) allocations (including “reverse” 704(c) allocations) to the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Beneficial Owner</w:t>
      </w:r>
      <w:r>
        <w:rPr>
          <w:rFonts w:ascii="Times New Roman" w:hAnsi="Times New Roman"/>
          <w:sz w:val="20"/>
        </w:rPr>
        <w:t xml:space="preserve">” means, with respect to a security, a Person who directly or indirectly, through any contract, arrangement, understanding, relationship or otherwise, has or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power, which includes the power to vote, or to direct the voting of, such security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power, which includes the power to dispose of, or to direct the disposition of, such security. </w:t>
            </w:r>
          </w:p>
        </w:tc>
      </w:tr>
    </w:tbl>
    <w:p>
      <w:pPr>
        <w:pStyle w:val="TextBody"/>
        <w:bidi w:val="0"/>
        <w:spacing w:before="240" w:after="0"/>
        <w:jc w:val="left"/>
        <w:rPr>
          <w:rFonts w:ascii="Times New Roman" w:hAnsi="Times New Roman"/>
          <w:sz w:val="20"/>
        </w:rPr>
      </w:pPr>
      <w:r>
        <w:rPr>
          <w:rFonts w:ascii="Times New Roman" w:hAnsi="Times New Roman"/>
          <w:sz w:val="20"/>
        </w:rPr>
        <w:t>The terms “</w:t>
      </w:r>
      <w:r>
        <w:rPr>
          <w:rFonts w:ascii="Times New Roman" w:hAnsi="Times New Roman"/>
          <w:b/>
          <w:i/>
          <w:sz w:val="20"/>
        </w:rPr>
        <w:t>Beneficially Own</w:t>
      </w:r>
      <w:r>
        <w:rPr>
          <w:rFonts w:ascii="Times New Roman" w:hAnsi="Times New Roman"/>
          <w:sz w:val="20"/>
        </w:rPr>
        <w:t>” and “</w:t>
      </w:r>
      <w:r>
        <w:rPr>
          <w:rFonts w:ascii="Times New Roman" w:hAnsi="Times New Roman"/>
          <w:b/>
          <w:i/>
          <w:sz w:val="20"/>
        </w:rPr>
        <w:t>Beneficial Ownership</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b/>
          <w:i/>
          <w:sz w:val="20"/>
        </w:rPr>
        <w:t>Black-Out Period</w:t>
      </w:r>
      <w:r>
        <w:rPr>
          <w:rFonts w:ascii="Times New Roman" w:hAnsi="Times New Roman"/>
          <w:sz w:val="20"/>
        </w:rPr>
        <w:t xml:space="preserve">”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 For the avoidance of doubt, such policies shall not impose restrictions on trading by passive institutional investors. </w:t>
      </w:r>
    </w:p>
    <w:p>
      <w:pPr>
        <w:pStyle w:val="TextBody"/>
        <w:bidi w:val="0"/>
        <w:spacing w:before="240" w:after="0"/>
        <w:jc w:val="left"/>
        <w:rPr/>
      </w:pPr>
      <w:r>
        <w:rPr/>
        <w:t>“</w:t>
      </w:r>
      <w:r>
        <w:rPr>
          <w:rFonts w:ascii="Times New Roman" w:hAnsi="Times New Roman"/>
          <w:b/>
          <w:i/>
          <w:sz w:val="20"/>
        </w:rPr>
        <w:t>Blocker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Blocker Mergers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Book Value</w:t>
      </w:r>
      <w:r>
        <w:rPr>
          <w:rFonts w:ascii="Times New Roman" w:hAnsi="Times New Roman"/>
          <w:sz w:val="20"/>
        </w:rPr>
        <w:t xml:space="preserve">” means, with respect to any property of the Company, the Company’s adjusted basis for U.S. federal income tax purposes, adjusted from time to time to reflect the adjustments required or permitted by Treasury Regulations Section 1.704-1(b)(2)(iv)(d)-(g).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a Saturday, Sunday or day on which banks located in New York City, New York are authorized or required by Law to close. </w:t>
      </w:r>
    </w:p>
    <w:p>
      <w:pPr>
        <w:pStyle w:val="TextBody"/>
        <w:bidi w:val="0"/>
        <w:spacing w:before="240" w:after="0"/>
        <w:jc w:val="left"/>
        <w:rPr/>
      </w:pPr>
      <w:r>
        <w:rPr/>
        <w:t>“</w:t>
      </w:r>
      <w:r>
        <w:rPr>
          <w:rFonts w:ascii="Times New Roman" w:hAnsi="Times New Roman"/>
          <w:b/>
          <w:i/>
          <w:sz w:val="20"/>
        </w:rPr>
        <w:t>Capital Account</w:t>
      </w:r>
      <w:r>
        <w:rPr>
          <w:rFonts w:ascii="Times New Roman" w:hAnsi="Times New Roman"/>
          <w:sz w:val="20"/>
        </w:rPr>
        <w:t xml:space="preserve">” means the capital account maintained for a Member in accordance with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Capital Contribution</w:t>
      </w:r>
      <w:r>
        <w:rPr>
          <w:rFonts w:ascii="Times New Roman" w:hAnsi="Times New Roman"/>
          <w:sz w:val="20"/>
        </w:rPr>
        <w:t xml:space="preserve">” means, with respect to any Member, the amount of any cash, cash equivalents, promissory obligations or the Fair Market Value of other property that such Member (or such Member’s predecessor) contributes (or is deemed to contribute) to the Company pursuant to </w:t>
      </w:r>
      <w:r>
        <w:rPr>
          <w:rFonts w:ascii="Times New Roman" w:hAnsi="Times New Roman"/>
          <w:sz w:val="20"/>
          <w:u w:val="single"/>
        </w:rPr>
        <w:t>Article III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i/>
          <w:sz w:val="20"/>
        </w:rPr>
        <w:t>Cash Settlement</w:t>
      </w:r>
      <w:r>
        <w:rPr>
          <w:rFonts w:ascii="Times New Roman" w:hAnsi="Times New Roman"/>
          <w:sz w:val="20"/>
        </w:rPr>
        <w:t xml:space="preserve">” means immediately available funds in U.S. dollars in an amount equal to the Redeemed Units Equivalent. </w:t>
      </w:r>
    </w:p>
    <w:p>
      <w:pPr>
        <w:pStyle w:val="TextBody"/>
        <w:bidi w:val="0"/>
        <w:spacing w:before="240" w:after="0"/>
        <w:jc w:val="left"/>
        <w:rPr/>
      </w:pPr>
      <w:r>
        <w:rPr/>
        <w:t>“</w:t>
      </w:r>
      <w:r>
        <w:rPr>
          <w:rFonts w:ascii="Times New Roman" w:hAnsi="Times New Roman"/>
          <w:b/>
          <w:i/>
          <w:sz w:val="20"/>
        </w:rPr>
        <w:t>Certificate</w:t>
      </w:r>
      <w:r>
        <w:rPr>
          <w:rFonts w:ascii="Times New Roman" w:hAnsi="Times New Roman"/>
          <w:sz w:val="20"/>
        </w:rPr>
        <w:t xml:space="preserve">” means the Company’s Certificate of Formation as filed with the Secretary of State of the State of Delaware or amended and restated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Change of Control</w:t>
      </w:r>
      <w:r>
        <w:rPr>
          <w:rFonts w:ascii="Times New Roman" w:hAnsi="Times New Roman"/>
          <w:sz w:val="20"/>
        </w:rPr>
        <w:t xml:space="preserve">” means the occurrence of any of the following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or “group” (within the meaning of Section 13(d) of the Exchange Act (excluding any “person” or “group” who, on the Closing Date, is the Beneficial Owner of securities of the Corporation representing more than 50% of the combined voting power of the Corporation’s then outstanding voting securities)) becomes the Beneficial Owner of securities of the Corporation representing more than 50% of the combined voting power of the Corporation’s then outstanding voting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shareholders of the Corporation approve a plan of complete liquidation or dissolution of the Corporation or (ii) there is consummated an agreement or series of related agreements for the sale or other disposition, directly or indirectly, by the Corporation of all or substantially all of the Corporation’s assets, other than such sale or other disposition by the Corporation of all or substantially all of the Corporation’s assets to an entity at least 50% of the combined voting power of the voting securities of which are owned by shareholders of the Corporation in substantially the same proportions as their ownership of the Corporation immediately prior to such sale or other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consummated a merger or consolidation of the Corporation with any other corporation or other entity, and, immediately after the consummation of such merger or consolidation, either (i) the Corporate Board immediately prior to the merger or consolidation does not constitute at least a majority of the board of directors of the company surviving the merger or consolidation or, if the surviving company is a Subsidiary, the ultimate parent thereof, or (ii) all of the Persons who were the respective Beneficial Owners of the voting securities of the Corporation immediately prior to such merger or consolidation do not Beneficially Own, directly or indirectly, more than 50% of the combined voting power of the then outstanding voting securities of the Person resulting from such merger or consolidation;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individuals cease for any reason to constitute a majority of the number of directors of the Corporation then serving: (i) on or before the Trigger Event (as defined in the Corporation’s certificate of incorporation), individuals who, on the Closing Date, constitute the Corporate Board and any new director designated for nomination by the Investors (as defined in the Stockholders Agreement) in accordance with the Stockholders Agreement and the Corporation’s certificate of incorporation and (ii) following the Trigger Event, individuals who were directors of the Corporation on the Closing Date or any new director whose appointment or election to the Corporate Board or nomination for election by the Corporation’s shareholders was approved or recommended by a vote of at least two-thirds (2/3) of the directors then still in office who either were directors of the Corporation on the Closing Date or whose appointment, election or nomination for election was previously so approved or recommended by the directors referred to in this clause (d), excluding any such director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Corporate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Notwithstanding the foregoing, a “</w:t>
      </w:r>
      <w:r>
        <w:rPr>
          <w:rFonts w:ascii="Times New Roman" w:hAnsi="Times New Roman"/>
          <w:sz w:val="20"/>
          <w:u w:val="single"/>
        </w:rPr>
        <w:t>Change of Control</w:t>
      </w:r>
      <w:r>
        <w:rPr>
          <w:rFonts w:ascii="Times New Roman" w:hAnsi="Times New Roman"/>
          <w:sz w:val="20"/>
        </w:rPr>
        <w:t xml:space="preserve">” shall not be deemed to have occurred by virtue of the consummation of any transaction or series of integrated transactions immediately following which the record holders of the Class A Common Stock and Class B Common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w:t>
      </w:r>
    </w:p>
    <w:p>
      <w:pPr>
        <w:pStyle w:val="TextBody"/>
        <w:bidi w:val="0"/>
        <w:spacing w:before="240" w:after="0"/>
        <w:jc w:val="left"/>
        <w:rPr/>
      </w:pPr>
      <w:r>
        <w:rPr/>
        <w:t>“</w:t>
      </w:r>
      <w:r>
        <w:rPr>
          <w:rFonts w:ascii="Times New Roman" w:hAnsi="Times New Roman"/>
          <w:b/>
          <w:i/>
          <w:sz w:val="20"/>
        </w:rPr>
        <w:t>Change of Control Date</w:t>
      </w:r>
      <w:r>
        <w:rPr>
          <w:rFonts w:ascii="Times New Roman" w:hAnsi="Times New Roman"/>
          <w:sz w:val="20"/>
        </w:rPr>
        <w:t xml:space="preserve">” has the meaning set forth in </w:t>
      </w:r>
      <w:r>
        <w:rPr>
          <w:rFonts w:ascii="Times New Roman" w:hAnsi="Times New Roman"/>
          <w:sz w:val="20"/>
          <w:u w:val="single"/>
        </w:rPr>
        <w:t>Section 10.08(a)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Change of Control Transaction</w:t>
      </w:r>
      <w:r>
        <w:rPr>
          <w:rFonts w:ascii="Times New Roman" w:hAnsi="Times New Roman"/>
          <w:sz w:val="20"/>
        </w:rPr>
        <w:t xml:space="preserve">” means any Change of Control that was approved by the Corporate Board prior to such Change of Control.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xml:space="preserve">” means, as applicable, (a) the shares of Class A common stock, par value $0.001 per share, of the Corporation or (b) following any consolidation, merger, reclassification or other similar event involving the Corporation, any shares or other securities of the Corporation or any other Person or cash or other property that become payable in consideration for the Class A common stock, $0.001 par value per share, of the Corporation or into which the Class A common stock, $0.001 par value per share, of the Corporation is exchanged or converted as a result of such consolidation, merger, reclassification or other similar event.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xml:space="preserve">” means, as applicable, (a) the shares of Class B Common Stock, par value $0.001 per share, of the Corporation or (b) following any consolidation, merger, reclassification or other similar event involving the Corporation, any shares or other securities of the Corporation or any other Person or cash or other property that become payable in consideration for the Class B common stock, $0.001 par value per share, of the Corporation or into which the Class B common stock, $0.001 par value per share, of the Corporation is exchanged or converted as a result of such consolidation, merger, reclassification or other similar event.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means the date on which the IPO is consummated.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United States Internal Revenue Code of 1986, as amended. Unless the context requires otherwise, any reference herein to a specific section of the Code shall be deemed to include any corresponding provisions of future Law as in effect for the relevant taxable period. </w:t>
      </w:r>
    </w:p>
    <w:p>
      <w:pPr>
        <w:pStyle w:val="TextBody"/>
        <w:bidi w:val="0"/>
        <w:spacing w:before="240" w:after="0"/>
        <w:jc w:val="left"/>
        <w:rPr/>
      </w:pPr>
      <w:r>
        <w:rPr/>
        <w:t>“</w:t>
      </w:r>
      <w:r>
        <w:rPr>
          <w:rFonts w:ascii="Times New Roman" w:hAnsi="Times New Roman"/>
          <w:b/>
          <w:i/>
          <w:sz w:val="20"/>
        </w:rPr>
        <w:t>Common Unit</w:t>
      </w:r>
      <w:r>
        <w:rPr>
          <w:rFonts w:ascii="Times New Roman" w:hAnsi="Times New Roman"/>
          <w:sz w:val="20"/>
        </w:rPr>
        <w:t xml:space="preserve">” means a Unit designated as a “Common Unit” and having the rights and obligations specified with respect to the Common Units in this Agreement. </w:t>
      </w:r>
    </w:p>
    <w:p>
      <w:pPr>
        <w:pStyle w:val="TextBody"/>
        <w:bidi w:val="0"/>
        <w:spacing w:before="240" w:after="0"/>
        <w:jc w:val="left"/>
        <w:rPr/>
      </w:pPr>
      <w:r>
        <w:rPr/>
        <w:t>“</w:t>
      </w:r>
      <w:r>
        <w:rPr>
          <w:rFonts w:ascii="Times New Roman" w:hAnsi="Times New Roman"/>
          <w:b/>
          <w:i/>
          <w:sz w:val="20"/>
        </w:rPr>
        <w:t>Common Unit Redemption Price</w:t>
      </w:r>
      <w:r>
        <w:rPr>
          <w:rFonts w:ascii="Times New Roman" w:hAnsi="Times New Roman"/>
          <w:sz w:val="20"/>
        </w:rPr>
        <w:t xml:space="preserve">” means, with respect to any Redemption, the arithmetic average of the volume weighted average prices for a share of Class A Common Stock on the Stock Exchange, or any other exchange or automated or electronic quotation system on which the Class A Common Stock trades, as reported by Bloomberg, L.P., or its successor, for each of the five (5) consecutive full Trading Days ending on and including the last full Trading Day immediately prior to the applicable Redemption Date, subject to appropriate and equitable adjustment for any stock splits, reverse splits, conversions, stock dividends or similar events affecting the Class A Common Stock. If the Class A Common Stock no longer trades on the Stock Exchange or any other securities exchange or automated or electronic quotation system as of any particular Redemption Date, then the Manager (through a majority of its directors who are disinterested) shall determine the Common Unit Redemption Price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i/>
          <w:sz w:val="20"/>
        </w:rPr>
        <w:t>Confidential Information</w:t>
      </w:r>
      <w:r>
        <w:rPr>
          <w:rFonts w:ascii="Times New Roman" w:hAnsi="Times New Roman"/>
          <w:sz w:val="20"/>
        </w:rPr>
        <w:t xml:space="preserve">” has the meaning set forth in </w:t>
      </w:r>
      <w:r>
        <w:rPr>
          <w:rFonts w:ascii="Times New Roman" w:hAnsi="Times New Roman"/>
          <w:sz w:val="20"/>
          <w:u w:val="single"/>
        </w:rPr>
        <w:t>Section 15.01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Controlling Party</w:t>
      </w:r>
      <w:r>
        <w:rPr>
          <w:rFonts w:ascii="Times New Roman" w:hAnsi="Times New Roman"/>
          <w:sz w:val="20"/>
        </w:rPr>
        <w:t xml:space="preserve">” has the meaning set forth in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Corporate Board</w:t>
      </w:r>
      <w:r>
        <w:rPr>
          <w:rFonts w:ascii="Times New Roman" w:hAnsi="Times New Roman"/>
          <w:sz w:val="20"/>
        </w:rPr>
        <w:t xml:space="preserve">” means the board of directors of the Corporation. </w:t>
      </w:r>
    </w:p>
    <w:p>
      <w:pPr>
        <w:pStyle w:val="TextBody"/>
        <w:bidi w:val="0"/>
        <w:spacing w:before="240" w:after="0"/>
        <w:jc w:val="left"/>
        <w:rPr/>
      </w:pPr>
      <w:r>
        <w:rPr/>
        <w:t>“</w:t>
      </w:r>
      <w:r>
        <w:rPr>
          <w:rFonts w:ascii="Times New Roman" w:hAnsi="Times New Roman"/>
          <w:b/>
          <w:i/>
          <w:sz w:val="20"/>
        </w:rPr>
        <w:t>Corporate Equity Incentive Plan</w:t>
      </w:r>
      <w:r>
        <w:rPr>
          <w:rFonts w:ascii="Times New Roman" w:hAnsi="Times New Roman"/>
          <w:sz w:val="20"/>
        </w:rPr>
        <w:t xml:space="preserve">” means the 2026 Equity Incentive Plan of the Corporation adopted on the Closing Date, as the same may be amended, restated, amended and restated, supplemented or otherwise modified from time to time. </w:t>
      </w:r>
    </w:p>
    <w:p>
      <w:pPr>
        <w:pStyle w:val="TextBody"/>
        <w:bidi w:val="0"/>
        <w:spacing w:before="240" w:after="0"/>
        <w:jc w:val="left"/>
        <w:rPr/>
      </w:pPr>
      <w:r>
        <w:rPr/>
        <w:t>“</w:t>
      </w:r>
      <w:r>
        <w:rPr>
          <w:rFonts w:ascii="Times New Roman" w:hAnsi="Times New Roman"/>
          <w:b/>
          <w:i/>
          <w:sz w:val="20"/>
        </w:rPr>
        <w:t>Corporation</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i/>
          <w:sz w:val="20"/>
        </w:rPr>
        <w:t>Corresponding Management Unit</w:t>
      </w:r>
      <w:r>
        <w:rPr>
          <w:rFonts w:ascii="Times New Roman" w:hAnsi="Times New Roman"/>
          <w:sz w:val="20"/>
        </w:rPr>
        <w:t xml:space="preserve">” means a Management Holdings Interest held by a Management Holdings Member that corresponds to a Common Unit held by Management Holdings. </w:t>
      </w:r>
    </w:p>
    <w:p>
      <w:pPr>
        <w:pStyle w:val="TextBody"/>
        <w:bidi w:val="0"/>
        <w:spacing w:before="240" w:after="0"/>
        <w:jc w:val="left"/>
        <w:rPr/>
      </w:pPr>
      <w:r>
        <w:rPr/>
        <w:t>“</w:t>
      </w:r>
      <w:r>
        <w:rPr>
          <w:rFonts w:ascii="Times New Roman" w:hAnsi="Times New Roman"/>
          <w:b/>
          <w:i/>
          <w:sz w:val="20"/>
        </w:rPr>
        <w:t>Corresponding Rights</w:t>
      </w:r>
      <w:r>
        <w:rPr>
          <w:rFonts w:ascii="Times New Roman" w:hAnsi="Times New Roman"/>
          <w:sz w:val="20"/>
        </w:rPr>
        <w:t xml:space="preserve">” means any rights issued with respect to a share of Class A Common Stock or Class B Common Stock pursuant to a “poison pill” or similar stockholder rights plan approved by the Corporate Board. </w:t>
      </w:r>
    </w:p>
    <w:p>
      <w:pPr>
        <w:pStyle w:val="TextBody"/>
        <w:bidi w:val="0"/>
        <w:spacing w:before="240" w:after="0"/>
        <w:jc w:val="left"/>
        <w:rPr/>
      </w:pPr>
      <w:r>
        <w:rPr/>
        <w:t>“</w:t>
      </w:r>
      <w:r>
        <w:rPr>
          <w:rFonts w:ascii="Times New Roman" w:hAnsi="Times New Roman"/>
          <w:b/>
          <w:i/>
          <w:sz w:val="20"/>
        </w:rPr>
        <w:t>Credit Agreements</w:t>
      </w:r>
      <w:r>
        <w:rPr>
          <w:rFonts w:ascii="Times New Roman" w:hAnsi="Times New Roman"/>
          <w:sz w:val="20"/>
        </w:rPr>
        <w:t xml:space="preserve">” means any promissory note, mortgage, loan agreement, indenture or similar instrument or agreement to which the Corporation, the Company or any of their respective Subsidiaries is or becomes a borrower,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Corporation, the Company or any of their respective Subsidiaries owes such obligation is not an Affiliate of the Company. </w:t>
      </w:r>
    </w:p>
    <w:p>
      <w:pPr>
        <w:pStyle w:val="TextBody"/>
        <w:bidi w:val="0"/>
        <w:spacing w:before="240" w:after="0"/>
        <w:jc w:val="left"/>
        <w:rPr/>
      </w:pPr>
      <w:r>
        <w:rPr/>
        <w:t>“</w:t>
      </w:r>
      <w:r>
        <w:rPr>
          <w:rFonts w:ascii="Times New Roman" w:hAnsi="Times New Roman"/>
          <w:b/>
          <w:i/>
          <w:sz w:val="20"/>
        </w:rPr>
        <w:t>Delaware Act</w:t>
      </w:r>
      <w:r>
        <w:rPr>
          <w:rFonts w:ascii="Times New Roman" w:hAnsi="Times New Roman"/>
          <w:sz w:val="20"/>
        </w:rPr>
        <w:t xml:space="preserve">” means the Delaware Limited Liability Company Act, 6 Del. C. § 18-101, </w:t>
      </w:r>
      <w:r>
        <w:rPr>
          <w:rFonts w:ascii="Times New Roman" w:hAnsi="Times New Roman"/>
          <w:i/>
          <w:sz w:val="20"/>
        </w:rPr>
        <w:t xml:space="preserve">et seq., </w:t>
      </w:r>
      <w:r>
        <w:rPr>
          <w:rFonts w:ascii="Times New Roman" w:hAnsi="Times New Roman"/>
          <w:sz w:val="20"/>
        </w:rPr>
        <w:t xml:space="preserve">as it may be amended from time to time, and any successor thereto. </w:t>
      </w:r>
    </w:p>
    <w:p>
      <w:pPr>
        <w:pStyle w:val="TextBody"/>
        <w:bidi w:val="0"/>
        <w:spacing w:before="240" w:after="0"/>
        <w:jc w:val="left"/>
        <w:rPr/>
      </w:pPr>
      <w:r>
        <w:rPr/>
        <w:t>“</w:t>
      </w:r>
      <w:r>
        <w:rPr>
          <w:rFonts w:ascii="Times New Roman" w:hAnsi="Times New Roman"/>
          <w:b/>
          <w:i/>
          <w:sz w:val="20"/>
        </w:rPr>
        <w:t>DGCL</w:t>
      </w:r>
      <w:r>
        <w:rPr>
          <w:rFonts w:ascii="Times New Roman" w:hAnsi="Times New Roman"/>
          <w:sz w:val="20"/>
        </w:rPr>
        <w:t xml:space="preserve">” means the Delaware General Corporation Law, as it may be amended from time to time, and any successor thereto. </w:t>
      </w:r>
    </w:p>
    <w:p>
      <w:pPr>
        <w:pStyle w:val="TextBody"/>
        <w:bidi w:val="0"/>
        <w:spacing w:before="240" w:after="0"/>
        <w:jc w:val="left"/>
        <w:rPr/>
      </w:pPr>
      <w:r>
        <w:rPr/>
        <w:t>“</w:t>
      </w:r>
      <w:r>
        <w:rPr>
          <w:rFonts w:ascii="Times New Roman" w:hAnsi="Times New Roman"/>
          <w:b/>
          <w:i/>
          <w:sz w:val="20"/>
        </w:rPr>
        <w:t>Direct Exchange</w:t>
      </w:r>
      <w:r>
        <w:rPr>
          <w:rFonts w:ascii="Times New Roman" w:hAnsi="Times New Roman"/>
          <w:sz w:val="20"/>
        </w:rPr>
        <w:t xml:space="preserve">” has the meaning set forth in </w:t>
      </w:r>
      <w:r>
        <w:rPr>
          <w:rFonts w:ascii="Times New Roman" w:hAnsi="Times New Roman"/>
          <w:sz w:val="20"/>
          <w:u w:val="single"/>
        </w:rPr>
        <w:t>Section 11.03(a)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Discount</w:t>
      </w:r>
      <w:r>
        <w:rPr>
          <w:rFonts w:ascii="Times New Roman" w:hAnsi="Times New Roman"/>
          <w:sz w:val="20"/>
        </w:rPr>
        <w:t xml:space="preserve">” has the meaning set forth in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Distributable Cash</w:t>
      </w:r>
      <w:r>
        <w:rPr>
          <w:rFonts w:ascii="Times New Roman" w:hAnsi="Times New Roman"/>
          <w:sz w:val="20"/>
        </w:rPr>
        <w:t xml:space="preserve">” means, as of any relevant date on which a determination is being made by the Manager regarding a potential distribution pursuant to </w:t>
      </w:r>
      <w:r>
        <w:rPr>
          <w:rFonts w:ascii="Times New Roman" w:hAnsi="Times New Roman"/>
          <w:sz w:val="20"/>
          <w:u w:val="single"/>
        </w:rPr>
        <w:t>Section 4.01(a)</w:t>
      </w:r>
      <w:r>
        <w:rPr>
          <w:rFonts w:ascii="Times New Roman" w:hAnsi="Times New Roman"/>
          <w:sz w:val="20"/>
        </w:rPr>
        <w:t xml:space="preserve">, the amount of cash that could be distributed by the Company for such purposes in accordance with the Credit Agreements (and without otherwise violating any applicable provisions of any of the Credit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Distribution</w:t>
      </w:r>
      <w:r>
        <w:rPr>
          <w:rFonts w:ascii="Times New Roman" w:hAnsi="Times New Roman"/>
          <w:sz w:val="20"/>
        </w:rPr>
        <w:t>” (and, with a correlative meaning, “</w:t>
      </w:r>
      <w:r>
        <w:rPr>
          <w:rFonts w:ascii="Times New Roman" w:hAnsi="Times New Roman"/>
          <w:b/>
          <w:i/>
          <w:sz w:val="20"/>
        </w:rPr>
        <w:t>Distribute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means each distribution made by the Company to a Member with respect to such Member’s Units, whether in cash, property or securities of the Company and whether by liquidating distribution or otherwise; </w:t>
      </w:r>
      <w:r>
        <w:rPr>
          <w:rFonts w:ascii="Times New Roman" w:hAnsi="Times New Roman"/>
          <w:i/>
          <w:sz w:val="20"/>
        </w:rPr>
        <w:t xml:space="preserve">provided, however, </w:t>
      </w:r>
      <w:r>
        <w:rPr>
          <w:rFonts w:ascii="Times New Roman" w:hAnsi="Times New Roman"/>
          <w:sz w:val="20"/>
        </w:rPr>
        <w:t xml:space="preserve">that none of the following shall be a Distribution: (a) any recapitalization that does not result in the distribution of cash or property to Members or any exchange of securities of the Company, and any subdivision (by Unit split or otherwise) or any combination (by reverse Unit split or otherwise) of any outstanding Units or (b) any other payment made by the Company to a Member that is not properly treated as a “distribution” for purposes of Sections 731, 732, or 733 or other applicable provisions of the Code. </w:t>
      </w:r>
    </w:p>
    <w:p>
      <w:pPr>
        <w:pStyle w:val="TextBody"/>
        <w:bidi w:val="0"/>
        <w:spacing w:before="240" w:after="0"/>
        <w:jc w:val="left"/>
        <w:rPr/>
      </w:pPr>
      <w:r>
        <w:rPr/>
        <w:t>“</w:t>
      </w:r>
      <w:r>
        <w:rPr>
          <w:rFonts w:ascii="Times New Roman" w:hAnsi="Times New Roman"/>
          <w:b/>
          <w:i/>
          <w:sz w:val="20"/>
        </w:rPr>
        <w:t>Distribution Tax Rate</w:t>
      </w:r>
      <w:r>
        <w:rPr>
          <w:rFonts w:ascii="Times New Roman" w:hAnsi="Times New Roman"/>
          <w:sz w:val="20"/>
        </w:rPr>
        <w:t xml:space="preserve">” means a rate equal to the highest effective marginal combined federal, state and local income tax rate for a Fiscal Year applicable to corporate or individual taxpayers (whichever is higher) that applies to any Member (or any direct or indirect partner or owner thereof in the case of a Member that is a “pass-through entity” for U.S. federal income tax purposes) for such Fiscal Year, taking into account the character of the relevant tax items </w:t>
      </w:r>
      <w:r>
        <w:rPr>
          <w:rFonts w:ascii="Times New Roman" w:hAnsi="Times New Roman"/>
          <w:i/>
          <w:sz w:val="20"/>
        </w:rPr>
        <w:t xml:space="preserve">(e.g., </w:t>
      </w:r>
      <w:r>
        <w:rPr>
          <w:rFonts w:ascii="Times New Roman" w:hAnsi="Times New Roman"/>
          <w:sz w:val="20"/>
        </w:rPr>
        <w:t xml:space="preserve">ordinary or capital) and the deductibility of state and local income taxes for federal income tax purposes (but only to the extent such taxes are deductible under the Code), as reasonably determined by the Manager in consultation with the Oaktree Representative. </w:t>
      </w:r>
    </w:p>
    <w:p>
      <w:pPr>
        <w:pStyle w:val="TextBody"/>
        <w:bidi w:val="0"/>
        <w:spacing w:before="240" w:after="0"/>
        <w:jc w:val="left"/>
        <w:rPr/>
      </w:pPr>
      <w:r>
        <w:rPr/>
        <w:t>“</w:t>
      </w:r>
      <w:r>
        <w:rPr>
          <w:rFonts w:ascii="Times New Roman" w:hAnsi="Times New Roman"/>
          <w:b/>
          <w:i/>
          <w:sz w:val="20"/>
        </w:rPr>
        <w:t>Effective Date</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i/>
          <w:sz w:val="20"/>
        </w:rPr>
        <w:t>Election Notice</w:t>
      </w:r>
      <w:r>
        <w:rPr>
          <w:rFonts w:ascii="Times New Roman" w:hAnsi="Times New Roman"/>
          <w:sz w:val="20"/>
        </w:rPr>
        <w:t xml:space="preserve">” has the meaning set forth in </w:t>
      </w:r>
      <w:r>
        <w:rPr>
          <w:rFonts w:ascii="Times New Roman" w:hAnsi="Times New Roman"/>
          <w:sz w:val="20"/>
          <w:u w:val="single"/>
        </w:rPr>
        <w:t>Section 11.01(c)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Equity Plan</w:t>
      </w:r>
      <w:r>
        <w:rPr>
          <w:rFonts w:ascii="Times New Roman" w:hAnsi="Times New Roman"/>
          <w:sz w:val="20"/>
        </w:rPr>
        <w:t xml:space="preserve">” means any stock or equity purchase plan, stock option or restricted stock plan or other similar equity compensation plan now or hereafter adopted by the Corporation or the Company and approved by the Corporate Board and Corporation stockholders as required by the DGCL or any applicable exchange listing requirements, including the Corporate Equity Incentive Plan. </w:t>
      </w:r>
    </w:p>
    <w:p>
      <w:pPr>
        <w:pStyle w:val="TextBody"/>
        <w:bidi w:val="0"/>
        <w:spacing w:before="240" w:after="0"/>
        <w:jc w:val="left"/>
        <w:rPr/>
      </w:pPr>
      <w:r>
        <w:rPr/>
        <w:t>“</w:t>
      </w:r>
      <w:r>
        <w:rPr>
          <w:rFonts w:ascii="Times New Roman" w:hAnsi="Times New Roman"/>
          <w:b/>
          <w:i/>
          <w:sz w:val="20"/>
        </w:rPr>
        <w:t>Equity Securities</w:t>
      </w:r>
      <w:r>
        <w:rPr>
          <w:rFonts w:ascii="Times New Roman" w:hAnsi="Times New Roman"/>
          <w:sz w:val="20"/>
        </w:rPr>
        <w:t xml:space="preserve">” means (a) Units or other equity interests in the Company or any Subsidiary of the Company (including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or exchangeable into Units or other equity interests in the Company or any Subsidiary of the Company, and (c) warrants, options or other rights to purchase or otherwise acquire Units or other equity interests in the Company or any Subsidiary of the Company. </w:t>
      </w:r>
    </w:p>
    <w:p>
      <w:pPr>
        <w:pStyle w:val="TextBody"/>
        <w:bidi w:val="0"/>
        <w:spacing w:before="240" w:after="0"/>
        <w:jc w:val="left"/>
        <w:rPr/>
      </w:pPr>
      <w:r>
        <w:rPr/>
        <w:t>“</w:t>
      </w:r>
      <w:r>
        <w:rPr>
          <w:rFonts w:ascii="Times New Roman" w:hAnsi="Times New Roman"/>
          <w:b/>
          <w:i/>
          <w:sz w:val="20"/>
        </w:rPr>
        <w:t>Event of Withdrawal</w:t>
      </w:r>
      <w:r>
        <w:rPr>
          <w:rFonts w:ascii="Times New Roman" w:hAnsi="Times New Roman"/>
          <w:sz w:val="20"/>
        </w:rPr>
        <w:t xml:space="preserve">” means the bankruptcy or dissolution of a Member or the occurrence of any other event that terminates the continued membership of a Member in the Company. “Event of Withdrawal” shall not include an event that (a) terminates the existence of a Member for income tax purposes (including, without limitation, (i) a change in entity classification of a Member under Treasury Regulations Section 301.7701-3, (ii) a deemed sale of assets by, or deemed liquidation of, a Member pursuant to an election under Code Sections 336 or 338,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Exchange Act</w:t>
      </w:r>
      <w:r>
        <w:rPr>
          <w:rFonts w:ascii="Times New Roman" w:hAnsi="Times New Roman"/>
          <w:sz w:val="20"/>
        </w:rPr>
        <w:t xml:space="preserve">” means the U.S. Securities Exchange Act of 1934, as amended, and any applicable rules and regulations promulgated thereunder, and any successor to such statute, rules or regulations. </w:t>
      </w:r>
    </w:p>
    <w:p>
      <w:pPr>
        <w:pStyle w:val="TextBody"/>
        <w:bidi w:val="0"/>
        <w:spacing w:before="240" w:after="0"/>
        <w:jc w:val="left"/>
        <w:rPr/>
      </w:pPr>
      <w:r>
        <w:rPr/>
        <w:t>“</w:t>
      </w:r>
      <w:r>
        <w:rPr>
          <w:rFonts w:ascii="Times New Roman" w:hAnsi="Times New Roman"/>
          <w:b/>
          <w:i/>
          <w:sz w:val="20"/>
        </w:rPr>
        <w:t>Exchange Election Notice</w:t>
      </w:r>
      <w:r>
        <w:rPr>
          <w:rFonts w:ascii="Times New Roman" w:hAnsi="Times New Roman"/>
          <w:sz w:val="20"/>
        </w:rPr>
        <w:t xml:space="preserve">” has the meaning set forth in </w:t>
      </w:r>
      <w:r>
        <w:rPr>
          <w:rFonts w:ascii="Times New Roman" w:hAnsi="Times New Roman"/>
          <w:sz w:val="20"/>
          <w:u w:val="single"/>
        </w:rPr>
        <w:t>Section 11.03(b)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Fair Market Value</w:t>
      </w:r>
      <w:r>
        <w:rPr>
          <w:rFonts w:ascii="Times New Roman" w:hAnsi="Times New Roman"/>
          <w:sz w:val="20"/>
        </w:rPr>
        <w:t xml:space="preserve">” of a specific asset of the Company will mean the amount which the Company would receive in an all-cash sale of such asset (for the avoidance of doubt, including any encumbrances)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Times New Roman" w:hAnsi="Times New Roman"/>
          <w:sz w:val="20"/>
          <w:u w:val="single"/>
        </w:rPr>
        <w:t>Section 14.02</w:t>
      </w:r>
      <w:r>
        <w:rPr>
          <w:rFonts w:ascii="Times New Roman" w:hAnsi="Times New Roman"/>
          <w:sz w:val="20"/>
        </w:rPr>
        <w:t xml:space="preserve">, the Liquidators) in its good faith judgment using all factors, information and data it deems to be pertinent. </w:t>
      </w:r>
    </w:p>
    <w:p>
      <w:pPr>
        <w:pStyle w:val="TextBody"/>
        <w:bidi w:val="0"/>
        <w:spacing w:before="240" w:after="0"/>
        <w:jc w:val="left"/>
        <w:rPr/>
      </w:pPr>
      <w:r>
        <w:rPr/>
        <w:t>“</w:t>
      </w:r>
      <w:r>
        <w:rPr>
          <w:rFonts w:ascii="Times New Roman" w:hAnsi="Times New Roman"/>
          <w:b/>
          <w:i/>
          <w:sz w:val="20"/>
        </w:rPr>
        <w:t>Fiscal Period</w:t>
      </w:r>
      <w:r>
        <w:rPr>
          <w:rFonts w:ascii="Times New Roman" w:hAnsi="Times New Roman"/>
          <w:sz w:val="20"/>
        </w:rPr>
        <w:t xml:space="preserve">” means any interim accounting period within a Taxable Year established by the Manager and which is permitted or required by Section 706 of the Code. </w:t>
      </w:r>
    </w:p>
    <w:p>
      <w:pPr>
        <w:pStyle w:val="TextBody"/>
        <w:bidi w:val="0"/>
        <w:spacing w:before="240" w:after="0"/>
        <w:jc w:val="left"/>
        <w:rPr/>
      </w:pPr>
      <w:r>
        <w:rPr/>
        <w:t>“</w:t>
      </w:r>
      <w:r>
        <w:rPr>
          <w:rFonts w:ascii="Times New Roman" w:hAnsi="Times New Roman"/>
          <w:b/>
          <w:i/>
          <w:sz w:val="20"/>
        </w:rPr>
        <w:t>Fiscal Year</w:t>
      </w:r>
      <w:r>
        <w:rPr>
          <w:rFonts w:ascii="Times New Roman" w:hAnsi="Times New Roman"/>
          <w:sz w:val="20"/>
        </w:rPr>
        <w:t xml:space="preserve">” means the Company’s annual accounting period established pursuant to </w:t>
      </w:r>
      <w:r>
        <w:rPr>
          <w:rFonts w:ascii="Times New Roman" w:hAnsi="Times New Roman"/>
          <w:sz w:val="20"/>
          <w:u w:val="single"/>
        </w:rPr>
        <w:t>Section 8.02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Governmental Entity</w:t>
      </w:r>
      <w:r>
        <w:rPr>
          <w:rFonts w:ascii="Times New Roman" w:hAnsi="Times New Roman"/>
          <w:sz w:val="20"/>
        </w:rPr>
        <w:t xml:space="preserve">” means (a) the United States of America, (b) any other sovereign nation, (c) any state, province, district, territory or other political subdivision of (a) or (b) of this definition, including, but not limited to, any county, municipal or other local subdivision of the foregoing, or (d) any agency, arbitrator or arbitral body, authority, board, body, bureau, commission, court, department, entity, instrumentality, organization or tribunal exercising executive, legislative, judicial, regulatory or administrative functions of government on behalf of (a), (b) or (c) of this definition. </w:t>
      </w:r>
    </w:p>
    <w:p>
      <w:pPr>
        <w:pStyle w:val="TextBody"/>
        <w:bidi w:val="0"/>
        <w:spacing w:before="240" w:after="0"/>
        <w:jc w:val="left"/>
        <w:rPr/>
      </w:pPr>
      <w:r>
        <w:rPr/>
        <w:t>“</w:t>
      </w:r>
      <w:r>
        <w:rPr>
          <w:rFonts w:ascii="Times New Roman" w:hAnsi="Times New Roman"/>
          <w:b/>
          <w:i/>
          <w:sz w:val="20"/>
        </w:rPr>
        <w:t>GP Cayman AIF</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GP DE AIF</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Indemnified Person</w:t>
      </w:r>
      <w:r>
        <w:rPr>
          <w:rFonts w:ascii="Times New Roman" w:hAnsi="Times New Roman"/>
          <w:sz w:val="20"/>
        </w:rPr>
        <w:t xml:space="preserve">” has the meaning set forth in </w:t>
      </w:r>
      <w:r>
        <w:rPr>
          <w:rFonts w:ascii="Times New Roman" w:hAnsi="Times New Roman"/>
          <w:sz w:val="20"/>
          <w:u w:val="single"/>
        </w:rPr>
        <w:t>Section 7.04(a)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Initial LLC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Intermediate</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i/>
          <w:sz w:val="20"/>
        </w:rPr>
        <w:t>Investment Company Act</w:t>
      </w:r>
      <w:r>
        <w:rPr>
          <w:rFonts w:ascii="Times New Roman" w:hAnsi="Times New Roman"/>
          <w:sz w:val="20"/>
        </w:rPr>
        <w:t xml:space="preserve">” means the U.S. Investment Company Act of 1940, as amended from time to time. </w:t>
      </w:r>
    </w:p>
    <w:p>
      <w:pPr>
        <w:pStyle w:val="TextBody"/>
        <w:bidi w:val="0"/>
        <w:spacing w:before="240" w:after="0"/>
        <w:jc w:val="left"/>
        <w:rPr/>
      </w:pPr>
      <w:r>
        <w:rPr/>
        <w:t>“</w:t>
      </w:r>
      <w:r>
        <w:rPr>
          <w:rFonts w:ascii="Times New Roman" w:hAnsi="Times New Roman"/>
          <w:b/>
          <w:i/>
          <w:sz w:val="20"/>
        </w:rPr>
        <w:t>IPO</w:t>
      </w:r>
      <w:r>
        <w:rPr>
          <w:rFonts w:ascii="Times New Roman" w:hAnsi="Times New Roman"/>
          <w:sz w:val="20"/>
        </w:rPr>
        <w:t xml:space="preserve">” means the initial underwritten public offering of shares of the Corporation’s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IPO Common Unit Subscription Agreement</w:t>
      </w:r>
      <w:r>
        <w:rPr>
          <w:rFonts w:ascii="Times New Roman" w:hAnsi="Times New Roman"/>
          <w:sz w:val="20"/>
        </w:rPr>
        <w:t xml:space="preserve">” means, if the Over-Allotment Option is exercised, that certain Common Unit Subscription Agreement, dated as of the Effective Date, by and between the Corporation and the Company. </w:t>
      </w:r>
    </w:p>
    <w:p>
      <w:pPr>
        <w:pStyle w:val="TextBody"/>
        <w:bidi w:val="0"/>
        <w:spacing w:before="240" w:after="0"/>
        <w:jc w:val="left"/>
        <w:rPr/>
      </w:pPr>
      <w:r>
        <w:rPr/>
        <w:t>“</w:t>
      </w:r>
      <w:r>
        <w:rPr>
          <w:rFonts w:ascii="Times New Roman" w:hAnsi="Times New Roman"/>
          <w:b/>
          <w:i/>
          <w:sz w:val="20"/>
        </w:rPr>
        <w:t>IPO Net Proceeds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Issuance Agreement</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Joinder</w:t>
      </w:r>
      <w:r>
        <w:rPr>
          <w:rFonts w:ascii="Times New Roman" w:hAnsi="Times New Roman"/>
          <w:sz w:val="20"/>
        </w:rPr>
        <w:t xml:space="preserve">” means a joinder to this Agreement, in form and substance substantially similar to </w:t>
      </w:r>
      <w:r>
        <w:rPr>
          <w:rFonts w:ascii="Times New Roman" w:hAnsi="Times New Roman"/>
          <w:sz w:val="20"/>
          <w:u w:val="single"/>
        </w:rPr>
        <w:t>Exhibit A</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b/>
          <w:i/>
          <w:sz w:val="20"/>
        </w:rPr>
        <w:t>Law</w:t>
      </w:r>
      <w:r>
        <w:rPr>
          <w:rFonts w:ascii="Times New Roman" w:hAnsi="Times New Roman"/>
          <w:sz w:val="20"/>
        </w:rPr>
        <w:t xml:space="preserve">” means all laws, statutes, ordinances, rules and regulations of any Governmental Entity. </w:t>
      </w:r>
    </w:p>
    <w:p>
      <w:pPr>
        <w:pStyle w:val="TextBody"/>
        <w:bidi w:val="0"/>
        <w:spacing w:before="240" w:after="0"/>
        <w:jc w:val="left"/>
        <w:rPr/>
      </w:pPr>
      <w:r>
        <w:rPr/>
        <w:t>“</w:t>
      </w:r>
      <w:r>
        <w:rPr>
          <w:rFonts w:ascii="Times New Roman" w:hAnsi="Times New Roman"/>
          <w:b/>
          <w:i/>
          <w:sz w:val="20"/>
        </w:rPr>
        <w:t>Liquidator</w:t>
      </w:r>
      <w:r>
        <w:rPr>
          <w:rFonts w:ascii="Times New Roman" w:hAnsi="Times New Roman"/>
          <w:sz w:val="20"/>
        </w:rPr>
        <w:t xml:space="preserve">” has the meaning set forth in </w:t>
      </w:r>
      <w:r>
        <w:rPr>
          <w:rFonts w:ascii="Times New Roman" w:hAnsi="Times New Roman"/>
          <w:sz w:val="20"/>
          <w:u w:val="single"/>
        </w:rPr>
        <w:t>Section 14.02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LLC Employee</w:t>
      </w:r>
      <w:r>
        <w:rPr>
          <w:rFonts w:ascii="Times New Roman" w:hAnsi="Times New Roman"/>
          <w:sz w:val="20"/>
        </w:rPr>
        <w:t xml:space="preserve">” means an employee of, or other service provider (including, without limitation, any management member whether or not treated as an employee for the purposes of U.S. federal income tax) to the Company or any of its Subsidiaries, in each case acting in such capacity. </w:t>
      </w:r>
    </w:p>
    <w:p>
      <w:pPr>
        <w:pStyle w:val="TextBody"/>
        <w:bidi w:val="0"/>
        <w:spacing w:before="240" w:after="0"/>
        <w:jc w:val="left"/>
        <w:rPr/>
      </w:pPr>
      <w:r>
        <w:rPr/>
        <w:t>“</w:t>
      </w:r>
      <w:r>
        <w:rPr>
          <w:rFonts w:ascii="Times New Roman" w:hAnsi="Times New Roman"/>
          <w:b/>
          <w:i/>
          <w:sz w:val="20"/>
        </w:rPr>
        <w:t>Losses</w:t>
      </w:r>
      <w:r>
        <w:rPr>
          <w:rFonts w:ascii="Times New Roman" w:hAnsi="Times New Roman"/>
          <w:sz w:val="20"/>
        </w:rPr>
        <w:t xml:space="preserve">” means items of loss or deduction of the Company determined according to </w:t>
      </w:r>
      <w:r>
        <w:rPr>
          <w:rFonts w:ascii="Times New Roman" w:hAnsi="Times New Roman"/>
          <w:sz w:val="20"/>
          <w:u w:val="single"/>
        </w:rPr>
        <w:t>Section 5.01(b)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Management Co-Redemption</w:t>
      </w:r>
      <w:r>
        <w:rPr>
          <w:rFonts w:ascii="Times New Roman" w:hAnsi="Times New Roman"/>
          <w:sz w:val="20"/>
        </w:rPr>
        <w:t xml:space="preserve">” has the meaning set forth in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Management Holdings</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i/>
          <w:sz w:val="20"/>
        </w:rPr>
        <w:t>Management Holdings Action</w:t>
      </w:r>
      <w:r>
        <w:rPr>
          <w:rFonts w:ascii="Times New Roman" w:hAnsi="Times New Roman"/>
          <w:sz w:val="20"/>
        </w:rPr>
        <w:t xml:space="preserve">” has the meaning set forth in Section 11.07(a). </w:t>
      </w:r>
    </w:p>
    <w:p>
      <w:pPr>
        <w:pStyle w:val="TextBody"/>
        <w:bidi w:val="0"/>
        <w:spacing w:before="240" w:after="0"/>
        <w:jc w:val="left"/>
        <w:rPr/>
      </w:pPr>
      <w:r>
        <w:rPr/>
        <w:t>“</w:t>
      </w:r>
      <w:r>
        <w:rPr>
          <w:rFonts w:ascii="Times New Roman" w:hAnsi="Times New Roman"/>
          <w:b/>
          <w:i/>
          <w:sz w:val="20"/>
        </w:rPr>
        <w:t>Management Holdings Agreement</w:t>
      </w:r>
      <w:r>
        <w:rPr>
          <w:rFonts w:ascii="Times New Roman" w:hAnsi="Times New Roman"/>
          <w:sz w:val="20"/>
        </w:rPr>
        <w:t xml:space="preserve">” means that certain Second Amended and Restated Limited Liability Company Agreement of Management Holdings, dated as of the Effective Date (as it may be amended, restated, amended and restated, supplemented or otherwise modified from time to time). </w:t>
      </w:r>
    </w:p>
    <w:p>
      <w:pPr>
        <w:pStyle w:val="TextBody"/>
        <w:bidi w:val="0"/>
        <w:spacing w:before="240" w:after="0"/>
        <w:jc w:val="left"/>
        <w:rPr/>
      </w:pPr>
      <w:r>
        <w:rPr/>
        <w:t>“</w:t>
      </w:r>
      <w:r>
        <w:rPr>
          <w:rFonts w:ascii="Times New Roman" w:hAnsi="Times New Roman"/>
          <w:b/>
          <w:i/>
          <w:sz w:val="20"/>
        </w:rPr>
        <w:t>Management Holdings Interest</w:t>
      </w:r>
      <w:r>
        <w:rPr>
          <w:rFonts w:ascii="Times New Roman" w:hAnsi="Times New Roman"/>
          <w:sz w:val="20"/>
        </w:rPr>
        <w:t xml:space="preserve">” means a common unit in Management Holdings owned by a Management Holdings Member. </w:t>
      </w:r>
    </w:p>
    <w:p>
      <w:pPr>
        <w:pStyle w:val="TextBody"/>
        <w:bidi w:val="0"/>
        <w:spacing w:before="240" w:after="0"/>
        <w:jc w:val="left"/>
        <w:rPr/>
      </w:pPr>
      <w:r>
        <w:rPr/>
        <w:t>“</w:t>
      </w:r>
      <w:r>
        <w:rPr>
          <w:rFonts w:ascii="Times New Roman" w:hAnsi="Times New Roman"/>
          <w:b/>
          <w:i/>
          <w:sz w:val="20"/>
        </w:rPr>
        <w:t>Management Holdings Member</w:t>
      </w:r>
      <w:r>
        <w:rPr>
          <w:rFonts w:ascii="Times New Roman" w:hAnsi="Times New Roman"/>
          <w:sz w:val="20"/>
        </w:rPr>
        <w:t xml:space="preserve">” means a member of Management Holdings. </w:t>
      </w:r>
    </w:p>
    <w:p>
      <w:pPr>
        <w:pStyle w:val="TextBody"/>
        <w:bidi w:val="0"/>
        <w:spacing w:before="240" w:after="0"/>
        <w:jc w:val="left"/>
        <w:rPr/>
      </w:pPr>
      <w:r>
        <w:rPr/>
        <w:t>“</w:t>
      </w:r>
      <w:r>
        <w:rPr>
          <w:rFonts w:ascii="Times New Roman" w:hAnsi="Times New Roman"/>
          <w:b/>
          <w:i/>
          <w:sz w:val="20"/>
        </w:rPr>
        <w:t>Manager</w:t>
      </w:r>
      <w:r>
        <w:rPr>
          <w:rFonts w:ascii="Times New Roman" w:hAnsi="Times New Roman"/>
          <w:sz w:val="20"/>
        </w:rPr>
        <w:t xml:space="preserve">” has the meaning set forth in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Market Price</w:t>
      </w:r>
      <w:r>
        <w:rPr>
          <w:rFonts w:ascii="Times New Roman" w:hAnsi="Times New Roman"/>
          <w:sz w:val="20"/>
        </w:rPr>
        <w:t xml:space="preserve">”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in the principal consolidated transaction reporting system with respect to securities listed or admitted to trading on the Stock Exchange or, if the Class A Common Stock is not listed or admitted to trading on the Stock Exchange, as reported on the principal consolidated transaction reporting system with respect to securities listed on the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national securities exchange on which the Class A Common Stock is listed or admitted to trading or, if the Class A Common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 available for the shares of Class A Common Stock, the fair market value of a share of Class A Common Stock, as determined in good faith by the Corporate Board. </w:t>
      </w:r>
    </w:p>
    <w:p>
      <w:pPr>
        <w:pStyle w:val="TextBody"/>
        <w:bidi w:val="0"/>
        <w:spacing w:before="240" w:after="0"/>
        <w:jc w:val="left"/>
        <w:rPr/>
      </w:pPr>
      <w:r>
        <w:rPr/>
        <w:t>“</w:t>
      </w:r>
      <w:r>
        <w:rPr>
          <w:rFonts w:ascii="Times New Roman" w:hAnsi="Times New Roman"/>
          <w:b/>
          <w:i/>
          <w:sz w:val="20"/>
        </w:rPr>
        <w:t>Member</w:t>
      </w:r>
      <w:r>
        <w:rPr>
          <w:rFonts w:ascii="Times New Roman" w:hAnsi="Times New Roman"/>
          <w:sz w:val="20"/>
        </w:rPr>
        <w:t xml:space="preserve">” means, as of any date of determination, (a) each of the members named on the Schedule of Members and (b) any Person admitted to the Company as a Substituted Member or Additional Member in accordance with </w:t>
      </w:r>
      <w:r>
        <w:rPr>
          <w:rFonts w:ascii="Times New Roman" w:hAnsi="Times New Roman"/>
          <w:sz w:val="20"/>
          <w:u w:val="single"/>
        </w:rPr>
        <w:t>Article XII</w:t>
      </w:r>
      <w:r>
        <w:rPr>
          <w:rFonts w:ascii="Times New Roman" w:hAnsi="Times New Roman"/>
          <w:sz w:val="20"/>
        </w:rPr>
        <w:t xml:space="preserve"> but in each case only so long as such Person is shown or, subject to </w:t>
      </w:r>
      <w:r>
        <w:rPr>
          <w:rFonts w:ascii="Times New Roman" w:hAnsi="Times New Roman"/>
          <w:sz w:val="20"/>
          <w:u w:val="single"/>
        </w:rPr>
        <w:t>Section 10.07(a)</w:t>
      </w:r>
      <w:r>
        <w:rPr>
          <w:rFonts w:ascii="Times New Roman" w:hAnsi="Times New Roman"/>
          <w:sz w:val="20"/>
        </w:rPr>
        <w:t xml:space="preserve">, deemed shown on the Company’s books and records as the owner of one or more Units, each in its capacity as a member of the Company. For the avoidance of doubt, the Corporation shall not be a Member until such time as it owns Units. </w:t>
      </w:r>
    </w:p>
    <w:p>
      <w:pPr>
        <w:pStyle w:val="TextBody"/>
        <w:bidi w:val="0"/>
        <w:spacing w:before="240" w:after="0"/>
        <w:jc w:val="left"/>
        <w:rPr/>
      </w:pPr>
      <w:r>
        <w:rPr/>
        <w:t>“</w:t>
      </w:r>
      <w:r>
        <w:rPr>
          <w:rFonts w:ascii="Times New Roman" w:hAnsi="Times New Roman"/>
          <w:b/>
          <w:i/>
          <w:sz w:val="20"/>
        </w:rPr>
        <w:t>Minimum Gain</w:t>
      </w:r>
      <w:r>
        <w:rPr>
          <w:rFonts w:ascii="Times New Roman" w:hAnsi="Times New Roman"/>
          <w:sz w:val="20"/>
        </w:rPr>
        <w:t xml:space="preserve">” means “partnership minimum gain” determined pursuant to Treasury Regulations Section 1.704-2(d). </w:t>
      </w:r>
    </w:p>
    <w:p>
      <w:pPr>
        <w:pStyle w:val="TextBody"/>
        <w:bidi w:val="0"/>
        <w:spacing w:before="240" w:after="0"/>
        <w:jc w:val="left"/>
        <w:rPr/>
      </w:pPr>
      <w:r>
        <w:rPr/>
        <w:t>“</w:t>
      </w:r>
      <w:r>
        <w:rPr>
          <w:rFonts w:ascii="Times New Roman" w:hAnsi="Times New Roman"/>
          <w:b/>
          <w:i/>
          <w:sz w:val="20"/>
        </w:rPr>
        <w:t>Net Loss</w:t>
      </w:r>
      <w:r>
        <w:rPr>
          <w:rFonts w:ascii="Times New Roman" w:hAnsi="Times New Roman"/>
          <w:sz w:val="20"/>
        </w:rPr>
        <w:t xml:space="preserve">” means, with respect to a Fiscal Year, the excess, if any, of Losses for such Fiscal Year over Profits for such Fiscal Year (excluding Profits and Losses specially allocated pursuant to Section 5.03 and Section 5.04). </w:t>
      </w:r>
    </w:p>
    <w:p>
      <w:pPr>
        <w:pStyle w:val="TextBody"/>
        <w:bidi w:val="0"/>
        <w:spacing w:before="240" w:after="0"/>
        <w:jc w:val="left"/>
        <w:rPr/>
      </w:pPr>
      <w:r>
        <w:rPr/>
        <w:t>“</w:t>
      </w:r>
      <w:r>
        <w:rPr>
          <w:rFonts w:ascii="Times New Roman" w:hAnsi="Times New Roman"/>
          <w:b/>
          <w:i/>
          <w:sz w:val="20"/>
        </w:rPr>
        <w:t>Net Profit</w:t>
      </w:r>
      <w:r>
        <w:rPr>
          <w:rFonts w:ascii="Times New Roman" w:hAnsi="Times New Roman"/>
          <w:sz w:val="20"/>
        </w:rPr>
        <w:t xml:space="preserve">” means, with respect to a Fiscal Year, the excess, if any, of Profits for such Fiscal Year over Losses for such Fiscal Year (excluding Profits and Losses specially allocated pursuant to </w:t>
      </w:r>
      <w:r>
        <w:rPr>
          <w:rFonts w:ascii="Times New Roman" w:hAnsi="Times New Roman"/>
          <w:sz w:val="20"/>
          <w:u w:val="single"/>
        </w:rPr>
        <w:t>Section 5.03</w:t>
      </w:r>
      <w:r>
        <w:rPr>
          <w:rFonts w:ascii="Times New Roman" w:hAnsi="Times New Roman"/>
          <w:sz w:val="20"/>
        </w:rPr>
        <w:t xml:space="preserve"> and </w:t>
      </w:r>
      <w:r>
        <w:rPr>
          <w:rFonts w:ascii="Times New Roman" w:hAnsi="Times New Roman"/>
          <w:sz w:val="20"/>
          <w:u w:val="single"/>
        </w:rPr>
        <w:t>Section 5.04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Oaktree</w:t>
      </w:r>
      <w:r>
        <w:rPr>
          <w:rFonts w:ascii="Times New Roman" w:hAnsi="Times New Roman"/>
          <w:sz w:val="20"/>
        </w:rPr>
        <w:t xml:space="preserve">” means Oaktree Capital Management, L.P. and any successor thereto. </w:t>
      </w:r>
    </w:p>
    <w:p>
      <w:pPr>
        <w:pStyle w:val="TextBody"/>
        <w:bidi w:val="0"/>
        <w:spacing w:before="240" w:after="0"/>
        <w:jc w:val="left"/>
        <w:rPr/>
      </w:pPr>
      <w:r>
        <w:rPr/>
        <w:t>“</w:t>
      </w:r>
      <w:r>
        <w:rPr>
          <w:rFonts w:ascii="Times New Roman" w:hAnsi="Times New Roman"/>
          <w:b/>
          <w:i/>
          <w:sz w:val="20"/>
        </w:rPr>
        <w:t>Oaktree Complete Redemption Date</w:t>
      </w:r>
      <w:r>
        <w:rPr>
          <w:rFonts w:ascii="Times New Roman" w:hAnsi="Times New Roman"/>
          <w:sz w:val="20"/>
        </w:rPr>
        <w:t xml:space="preserve">” means the date upon which Oaktree Persons, collectively, no longer own any of the aggregate economic interests in the Company. </w:t>
      </w:r>
    </w:p>
    <w:p>
      <w:pPr>
        <w:pStyle w:val="TextBody"/>
        <w:bidi w:val="0"/>
        <w:spacing w:before="240" w:after="0"/>
        <w:jc w:val="left"/>
        <w:rPr/>
      </w:pPr>
      <w:r>
        <w:rPr/>
        <w:t>“</w:t>
      </w:r>
      <w:r>
        <w:rPr>
          <w:rFonts w:ascii="Times New Roman" w:hAnsi="Times New Roman"/>
          <w:b/>
          <w:i/>
          <w:sz w:val="20"/>
        </w:rPr>
        <w:t>Oaktree Fund</w:t>
      </w:r>
      <w:r>
        <w:rPr>
          <w:rFonts w:ascii="Times New Roman" w:hAnsi="Times New Roman"/>
          <w:sz w:val="20"/>
        </w:rPr>
        <w:t xml:space="preserve">” means each of Aggregator, OPOF VI, GP DE AIF or any successor entity to any of the foregoing managed by Oaktree. </w:t>
      </w:r>
    </w:p>
    <w:p>
      <w:pPr>
        <w:pStyle w:val="TextBody"/>
        <w:bidi w:val="0"/>
        <w:spacing w:before="240" w:after="0"/>
        <w:jc w:val="left"/>
        <w:rPr/>
      </w:pPr>
      <w:r>
        <w:rPr/>
        <w:t>“</w:t>
      </w:r>
      <w:r>
        <w:rPr>
          <w:rFonts w:ascii="Times New Roman" w:hAnsi="Times New Roman"/>
          <w:b/>
          <w:i/>
          <w:sz w:val="20"/>
        </w:rPr>
        <w:t>Oaktree Persons</w:t>
      </w:r>
      <w:r>
        <w:rPr>
          <w:rFonts w:ascii="Times New Roman" w:hAnsi="Times New Roman"/>
          <w:sz w:val="20"/>
        </w:rPr>
        <w:t xml:space="preserve">” means, collectively, (a) any Oaktree Fund, (b) any general or limited partnership, corporation or limited liability company having as a general partner, controlling equity holder or managing member (whether directly or indirectly) Oaktree or an Affiliate of Oaktree, or (c) any successor of any of the foregoing; provided that “Oaktree Persons” shall not include the Corporation or its Subsidiaries or Management Holdings. </w:t>
      </w:r>
    </w:p>
    <w:p>
      <w:pPr>
        <w:pStyle w:val="TextBody"/>
        <w:bidi w:val="0"/>
        <w:spacing w:before="240" w:after="0"/>
        <w:jc w:val="left"/>
        <w:rPr/>
      </w:pPr>
      <w:r>
        <w:rPr/>
        <w:t>“</w:t>
      </w:r>
      <w:r>
        <w:rPr>
          <w:rFonts w:ascii="Times New Roman" w:hAnsi="Times New Roman"/>
          <w:b/>
          <w:i/>
          <w:sz w:val="20"/>
        </w:rPr>
        <w:t>Oaktree Redemption</w:t>
      </w:r>
      <w:r>
        <w:rPr>
          <w:rFonts w:ascii="Times New Roman" w:hAnsi="Times New Roman"/>
          <w:sz w:val="20"/>
        </w:rPr>
        <w:t xml:space="preserve">” has the meaning set forth in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Oaktree Representative</w:t>
      </w:r>
      <w:r>
        <w:rPr>
          <w:rFonts w:ascii="Times New Roman" w:hAnsi="Times New Roman"/>
          <w:sz w:val="20"/>
        </w:rPr>
        <w:t xml:space="preserve">” means ITG MH Manager, LLC, a Delaware limited liability company, or such other Person designated by Oaktree. </w:t>
      </w:r>
    </w:p>
    <w:p>
      <w:pPr>
        <w:pStyle w:val="TextBody"/>
        <w:bidi w:val="0"/>
        <w:spacing w:before="240" w:after="0"/>
        <w:jc w:val="left"/>
        <w:rPr/>
      </w:pPr>
      <w:r>
        <w:rPr/>
        <w:t>“</w:t>
      </w:r>
      <w:r>
        <w:rPr>
          <w:rFonts w:ascii="Times New Roman" w:hAnsi="Times New Roman"/>
          <w:b/>
          <w:i/>
          <w:sz w:val="20"/>
        </w:rPr>
        <w:t>Oaktree Sale Percentage</w:t>
      </w:r>
      <w:r>
        <w:rPr>
          <w:rFonts w:ascii="Times New Roman" w:hAnsi="Times New Roman"/>
          <w:sz w:val="20"/>
        </w:rPr>
        <w:t xml:space="preserve">” has the meaning set forth in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Officer</w:t>
      </w:r>
      <w:r>
        <w:rPr>
          <w:rFonts w:ascii="Times New Roman" w:hAnsi="Times New Roman"/>
          <w:sz w:val="20"/>
        </w:rPr>
        <w:t xml:space="preserve">” has the meaning set forth in </w:t>
      </w:r>
      <w:r>
        <w:rPr>
          <w:rFonts w:ascii="Times New Roman" w:hAnsi="Times New Roman"/>
          <w:sz w:val="20"/>
          <w:u w:val="single"/>
        </w:rPr>
        <w:t>Section 6.01(b)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OPOF VI</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Optionee</w:t>
      </w:r>
      <w:r>
        <w:rPr>
          <w:rFonts w:ascii="Times New Roman" w:hAnsi="Times New Roman"/>
          <w:sz w:val="20"/>
        </w:rPr>
        <w:t xml:space="preserve">” means a Person to whom a stock option is granted under any Equity Plan. </w:t>
      </w:r>
    </w:p>
    <w:p>
      <w:pPr>
        <w:pStyle w:val="TextBody"/>
        <w:bidi w:val="0"/>
        <w:spacing w:before="240" w:after="0"/>
        <w:jc w:val="left"/>
        <w:rPr/>
      </w:pPr>
      <w:r>
        <w:rPr/>
        <w:t>“</w:t>
      </w:r>
      <w:r>
        <w:rPr>
          <w:rFonts w:ascii="Times New Roman" w:hAnsi="Times New Roman"/>
          <w:b/>
          <w:i/>
          <w:sz w:val="20"/>
        </w:rPr>
        <w:t>Original Units</w:t>
      </w:r>
      <w:r>
        <w:rPr>
          <w:rFonts w:ascii="Times New Roman" w:hAnsi="Times New Roman"/>
          <w:sz w:val="20"/>
        </w:rPr>
        <w:t xml:space="preserve">” means the Class A Units, the Class B Units, the Class C Units, the Class D Units and the Class X Units (each as defined in the Initial LLC Agreement) of the Company. </w:t>
      </w:r>
    </w:p>
    <w:p>
      <w:pPr>
        <w:pStyle w:val="TextBody"/>
        <w:bidi w:val="0"/>
        <w:spacing w:before="240" w:after="0"/>
        <w:jc w:val="left"/>
        <w:rPr/>
      </w:pPr>
      <w:r>
        <w:rPr/>
        <w:t>“</w:t>
      </w:r>
      <w:r>
        <w:rPr>
          <w:rFonts w:ascii="Times New Roman" w:hAnsi="Times New Roman"/>
          <w:b/>
          <w:i/>
          <w:sz w:val="20"/>
        </w:rPr>
        <w:t>Other Agreements</w:t>
      </w:r>
      <w:r>
        <w:rPr>
          <w:rFonts w:ascii="Times New Roman" w:hAnsi="Times New Roman"/>
          <w:sz w:val="20"/>
        </w:rPr>
        <w:t xml:space="preserve">” has the meaning set forth in </w:t>
      </w:r>
      <w:r>
        <w:rPr>
          <w:rFonts w:ascii="Times New Roman" w:hAnsi="Times New Roman"/>
          <w:sz w:val="20"/>
          <w:u w:val="single"/>
        </w:rPr>
        <w:t>Section 10.04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Partnership Representative</w:t>
      </w:r>
      <w:r>
        <w:rPr>
          <w:rFonts w:ascii="Times New Roman" w:hAnsi="Times New Roman"/>
          <w:sz w:val="20"/>
        </w:rPr>
        <w:t xml:space="preserve">” has the meaning set forth in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Percentage Interest</w:t>
      </w:r>
      <w:r>
        <w:rPr>
          <w:rFonts w:ascii="Times New Roman" w:hAnsi="Times New Roman"/>
          <w:sz w:val="20"/>
        </w:rPr>
        <w:t xml:space="preserve">” means, as among an individual class of Units and with respect to a Member at a particular time, such Member’s percentage interest in the Company determined by dividing the number of such Member’s Units of such class by the total number of Units of all Members of such class at such time. The Percentage Interest of each Member shall be calculated to the fourth decimal place. </w:t>
      </w:r>
    </w:p>
    <w:p>
      <w:pPr>
        <w:pStyle w:val="TextBody"/>
        <w:bidi w:val="0"/>
        <w:spacing w:before="240" w:after="0"/>
        <w:jc w:val="left"/>
        <w:rPr/>
      </w:pPr>
      <w:r>
        <w:rPr/>
        <w:t>“</w:t>
      </w:r>
      <w:r>
        <w:rPr>
          <w:rFonts w:ascii="Times New Roman" w:hAnsi="Times New Roman"/>
          <w:b/>
          <w:i/>
          <w:sz w:val="20"/>
        </w:rPr>
        <w:t>Permitted Transfer</w:t>
      </w:r>
      <w:r>
        <w:rPr>
          <w:rFonts w:ascii="Times New Roman" w:hAnsi="Times New Roman"/>
          <w:sz w:val="20"/>
        </w:rPr>
        <w:t xml:space="preserve">” has the meaning set forth in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Permitted Transferee</w:t>
      </w:r>
      <w:r>
        <w:rPr>
          <w:rFonts w:ascii="Times New Roman" w:hAnsi="Times New Roman"/>
          <w:sz w:val="20"/>
        </w:rPr>
        <w:t xml:space="preserve">” has the meaning set forth in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any corporation, partnership, limited liability company, trust, unincorporated organization, association, joint venture or any other organization or entity, whether or not a legal entity. </w:t>
      </w:r>
    </w:p>
    <w:p>
      <w:pPr>
        <w:pStyle w:val="TextBody"/>
        <w:bidi w:val="0"/>
        <w:spacing w:before="240" w:after="0"/>
        <w:jc w:val="left"/>
        <w:rPr/>
      </w:pPr>
      <w:r>
        <w:rPr/>
        <w:t>“</w:t>
      </w:r>
      <w:r>
        <w:rPr>
          <w:rFonts w:ascii="Times New Roman" w:hAnsi="Times New Roman"/>
          <w:b/>
          <w:i/>
          <w:sz w:val="20"/>
        </w:rPr>
        <w:t>Pre-IPO Members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Pro rata</w:t>
      </w:r>
      <w:r>
        <w:rPr>
          <w:rFonts w:ascii="Times New Roman" w:hAnsi="Times New Roman"/>
          <w:sz w:val="20"/>
        </w:rPr>
        <w:t>” “</w:t>
      </w:r>
      <w:r>
        <w:rPr>
          <w:rFonts w:ascii="Times New Roman" w:hAnsi="Times New Roman"/>
          <w:b/>
          <w:i/>
          <w:sz w:val="20"/>
        </w:rPr>
        <w:t>pro rata portion</w:t>
      </w:r>
      <w:r>
        <w:rPr>
          <w:rFonts w:ascii="Times New Roman" w:hAnsi="Times New Roman"/>
          <w:sz w:val="20"/>
        </w:rPr>
        <w:t>” “</w:t>
      </w:r>
      <w:r>
        <w:rPr>
          <w:rFonts w:ascii="Times New Roman" w:hAnsi="Times New Roman"/>
          <w:b/>
          <w:i/>
          <w:sz w:val="20"/>
        </w:rPr>
        <w:t>according to their interests</w:t>
      </w:r>
      <w:r>
        <w:rPr>
          <w:rFonts w:ascii="Times New Roman" w:hAnsi="Times New Roman"/>
          <w:sz w:val="20"/>
        </w:rPr>
        <w:t>” “</w:t>
      </w:r>
      <w:r>
        <w:rPr>
          <w:rFonts w:ascii="Times New Roman" w:hAnsi="Times New Roman"/>
          <w:b/>
          <w:i/>
          <w:sz w:val="20"/>
        </w:rPr>
        <w:t>ratably</w:t>
      </w:r>
      <w:r>
        <w:rPr>
          <w:rFonts w:ascii="Times New Roman" w:hAnsi="Times New Roman"/>
          <w:sz w:val="20"/>
        </w:rPr>
        <w:t>” “</w:t>
      </w:r>
      <w:r>
        <w:rPr>
          <w:rFonts w:ascii="Times New Roman" w:hAnsi="Times New Roman"/>
          <w:b/>
          <w:i/>
          <w:sz w:val="20"/>
        </w:rPr>
        <w:t>proportionately</w:t>
      </w:r>
      <w:r>
        <w:rPr>
          <w:rFonts w:ascii="Times New Roman" w:hAnsi="Times New Roman"/>
          <w:sz w:val="20"/>
        </w:rPr>
        <w:t>” “</w:t>
      </w:r>
      <w:r>
        <w:rPr>
          <w:rFonts w:ascii="Times New Roman" w:hAnsi="Times New Roman"/>
          <w:b/>
          <w:i/>
          <w:sz w:val="20"/>
        </w:rPr>
        <w:t>proportional</w:t>
      </w:r>
      <w:r>
        <w:rPr>
          <w:rFonts w:ascii="Times New Roman" w:hAnsi="Times New Roman"/>
          <w:sz w:val="20"/>
        </w:rPr>
        <w:t>” “</w:t>
      </w:r>
      <w:r>
        <w:rPr>
          <w:rFonts w:ascii="Times New Roman" w:hAnsi="Times New Roman"/>
          <w:b/>
          <w:i/>
          <w:sz w:val="20"/>
        </w:rPr>
        <w:t>in proportion to</w:t>
      </w:r>
      <w:r>
        <w:rPr>
          <w:rFonts w:ascii="Times New Roman" w:hAnsi="Times New Roman"/>
          <w:sz w:val="20"/>
        </w:rPr>
        <w:t>” “</w:t>
      </w:r>
      <w:r>
        <w:rPr>
          <w:rFonts w:ascii="Times New Roman" w:hAnsi="Times New Roman"/>
          <w:b/>
          <w:i/>
          <w:sz w:val="20"/>
        </w:rPr>
        <w:t>based on the number of Units held</w:t>
      </w:r>
      <w:r>
        <w:rPr>
          <w:rFonts w:ascii="Times New Roman" w:hAnsi="Times New Roman"/>
          <w:sz w:val="20"/>
        </w:rPr>
        <w:t>” “</w:t>
      </w:r>
      <w:r>
        <w:rPr>
          <w:rFonts w:ascii="Times New Roman" w:hAnsi="Times New Roman"/>
          <w:b/>
          <w:i/>
          <w:sz w:val="20"/>
        </w:rPr>
        <w:t>based upon the percentage of Units held</w:t>
      </w:r>
      <w:r>
        <w:rPr>
          <w:rFonts w:ascii="Times New Roman" w:hAnsi="Times New Roman"/>
          <w:sz w:val="20"/>
        </w:rPr>
        <w:t>” “</w:t>
      </w:r>
      <w:r>
        <w:rPr>
          <w:rFonts w:ascii="Times New Roman" w:hAnsi="Times New Roman"/>
          <w:b/>
          <w:i/>
          <w:sz w:val="20"/>
        </w:rPr>
        <w:t>based upon the number of Units outstanding</w:t>
      </w:r>
      <w:r>
        <w:rPr>
          <w:rFonts w:ascii="Times New Roman" w:hAnsi="Times New Roman"/>
          <w:sz w:val="20"/>
        </w:rPr>
        <w:t xml:space="preserve">” and other terms with similar meanings, when used in the context of a number of Units of the Company relative to other Units, means as amongst an individual class of Units, pro rata based upon the number of such Units within such class of Units. </w:t>
      </w:r>
    </w:p>
    <w:p>
      <w:pPr>
        <w:pStyle w:val="TextBody"/>
        <w:bidi w:val="0"/>
        <w:spacing w:before="240" w:after="0"/>
        <w:jc w:val="left"/>
        <w:rPr/>
      </w:pPr>
      <w:r>
        <w:rPr/>
        <w:t>“</w:t>
      </w:r>
      <w:r>
        <w:rPr>
          <w:rFonts w:ascii="Times New Roman" w:hAnsi="Times New Roman"/>
          <w:b/>
          <w:i/>
          <w:sz w:val="20"/>
        </w:rPr>
        <w:t>Profits</w:t>
      </w:r>
      <w:r>
        <w:rPr>
          <w:rFonts w:ascii="Times New Roman" w:hAnsi="Times New Roman"/>
          <w:sz w:val="20"/>
        </w:rPr>
        <w:t xml:space="preserve">” means items of income and gain of the Company determined according to </w:t>
      </w:r>
      <w:r>
        <w:rPr>
          <w:rFonts w:ascii="Times New Roman" w:hAnsi="Times New Roman"/>
          <w:sz w:val="20"/>
          <w:u w:val="single"/>
        </w:rPr>
        <w:t>Section 5.01(b)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Pubco</w:t>
      </w:r>
      <w:r>
        <w:rPr>
          <w:rFonts w:ascii="Times New Roman" w:hAnsi="Times New Roman"/>
          <w:sz w:val="20"/>
        </w:rPr>
        <w:t xml:space="preserve"> </w:t>
      </w:r>
      <w:r>
        <w:rPr>
          <w:rFonts w:ascii="Times New Roman" w:hAnsi="Times New Roman"/>
          <w:b/>
          <w:i/>
          <w:sz w:val="20"/>
        </w:rPr>
        <w:t>Offer</w:t>
      </w:r>
      <w:r>
        <w:rPr>
          <w:rFonts w:ascii="Times New Roman" w:hAnsi="Times New Roman"/>
          <w:sz w:val="20"/>
        </w:rPr>
        <w:t xml:space="preserve">” has the meaning set forth in </w:t>
      </w:r>
      <w:r>
        <w:rPr>
          <w:rFonts w:ascii="Times New Roman" w:hAnsi="Times New Roman"/>
          <w:sz w:val="20"/>
          <w:u w:val="single"/>
        </w:rPr>
        <w:t>Section 10.08(b)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Quarterly Tax Distributio</w:t>
      </w:r>
      <w:r>
        <w:rPr>
          <w:rFonts w:ascii="Times New Roman" w:hAnsi="Times New Roman"/>
          <w:i/>
          <w:sz w:val="20"/>
        </w:rPr>
        <w:t>n</w:t>
      </w:r>
      <w:r>
        <w:rPr>
          <w:rFonts w:ascii="Times New Roman" w:hAnsi="Times New Roman"/>
          <w:sz w:val="20"/>
        </w:rPr>
        <w:t xml:space="preserve">” has the meaning set forth in </w:t>
      </w:r>
      <w:r>
        <w:rPr>
          <w:rFonts w:ascii="Times New Roman" w:hAnsi="Times New Roman"/>
          <w:sz w:val="20"/>
          <w:u w:val="single"/>
        </w:rPr>
        <w:t>Section 4.01(b)(i)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Recapitalization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Redeemed Units</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Redeemed Units Equivalent</w:t>
      </w:r>
      <w:r>
        <w:rPr>
          <w:rFonts w:ascii="Times New Roman" w:hAnsi="Times New Roman"/>
          <w:sz w:val="20"/>
        </w:rPr>
        <w:t xml:space="preserve">” means the product of (a) the applicable number of Redeemed Units, </w:t>
      </w:r>
      <w:r>
        <w:rPr>
          <w:rFonts w:ascii="Times New Roman" w:hAnsi="Times New Roman"/>
          <w:i/>
          <w:sz w:val="20"/>
        </w:rPr>
        <w:t xml:space="preserve">multiplied by </w:t>
      </w:r>
      <w:r>
        <w:rPr>
          <w:rFonts w:ascii="Times New Roman" w:hAnsi="Times New Roman"/>
          <w:sz w:val="20"/>
        </w:rPr>
        <w:t xml:space="preserve">(b) the Common Unit Redemption Price. </w:t>
      </w:r>
    </w:p>
    <w:p>
      <w:pPr>
        <w:pStyle w:val="TextBody"/>
        <w:bidi w:val="0"/>
        <w:spacing w:before="240" w:after="0"/>
        <w:jc w:val="left"/>
        <w:rPr/>
      </w:pPr>
      <w:r>
        <w:rPr/>
        <w:t>“</w:t>
      </w:r>
      <w:r>
        <w:rPr>
          <w:rFonts w:ascii="Times New Roman" w:hAnsi="Times New Roman"/>
          <w:b/>
          <w:i/>
          <w:sz w:val="20"/>
        </w:rPr>
        <w:t>Redeeming Member</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Redemption</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Redemption Date</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Redemption Notice</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Redemption Right</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Registration Rights Agreement</w:t>
      </w:r>
      <w:r>
        <w:rPr>
          <w:rFonts w:ascii="Times New Roman" w:hAnsi="Times New Roman"/>
          <w:sz w:val="20"/>
        </w:rPr>
        <w:t xml:space="preserve">” means that certain Registration Rights Agreement, dated as of the Effective Date, by and among the Corporation, certain of the Members as of the Effective Date and certain other Persons whose signatures are affixed thereto (together with any joinder thereto from time to time by any successor or assign to any party to such agreement) (as it may be amended from time to time in accordance with its terms). </w:t>
      </w:r>
    </w:p>
    <w:p>
      <w:pPr>
        <w:pStyle w:val="TextBody"/>
        <w:bidi w:val="0"/>
        <w:spacing w:before="240" w:after="0"/>
        <w:jc w:val="left"/>
        <w:rPr/>
      </w:pPr>
      <w:r>
        <w:rPr/>
        <w:t>“</w:t>
      </w:r>
      <w:r>
        <w:rPr>
          <w:rFonts w:ascii="Times New Roman" w:hAnsi="Times New Roman"/>
          <w:b/>
          <w:i/>
          <w:sz w:val="20"/>
        </w:rPr>
        <w:t>Reorganization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Restricted Unit Award Agreement</w:t>
      </w:r>
      <w:r>
        <w:rPr>
          <w:rFonts w:ascii="Times New Roman" w:hAnsi="Times New Roman"/>
          <w:sz w:val="20"/>
        </w:rPr>
        <w:t xml:space="preserve">” means an agreement among any Management Holdings Member, Management Holdings and the Company, governing the issuance or other terms of Management Holdings Interests to such Management Holdings Member. </w:t>
      </w:r>
    </w:p>
    <w:p>
      <w:pPr>
        <w:pStyle w:val="TextBody"/>
        <w:bidi w:val="0"/>
        <w:spacing w:before="240" w:after="0"/>
        <w:jc w:val="left"/>
        <w:rPr/>
      </w:pPr>
      <w:r>
        <w:rPr/>
        <w:t>“</w:t>
      </w:r>
      <w:r>
        <w:rPr>
          <w:rFonts w:ascii="Times New Roman" w:hAnsi="Times New Roman"/>
          <w:b/>
          <w:i/>
          <w:sz w:val="20"/>
        </w:rPr>
        <w:t>Retraction Notice</w:t>
      </w:r>
      <w:r>
        <w:rPr>
          <w:rFonts w:ascii="Times New Roman" w:hAnsi="Times New Roman"/>
          <w:sz w:val="20"/>
        </w:rPr>
        <w:t xml:space="preserve">” has the meaning set forth in </w:t>
      </w:r>
      <w:r>
        <w:rPr>
          <w:rFonts w:ascii="Times New Roman" w:hAnsi="Times New Roman"/>
          <w:sz w:val="20"/>
          <w:u w:val="single"/>
        </w:rPr>
        <w:t>Section 11.01(d)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Revised Partnership Audit Provisions</w:t>
      </w:r>
      <w:r>
        <w:rPr>
          <w:rFonts w:ascii="Times New Roman" w:hAnsi="Times New Roman"/>
          <w:sz w:val="20"/>
        </w:rPr>
        <w:t xml:space="preserve">” means the provisions of Subchapter C of Chapter 63 of the Code (Sections 6221 </w:t>
      </w:r>
      <w:r>
        <w:rPr>
          <w:rFonts w:ascii="Times New Roman" w:hAnsi="Times New Roman"/>
          <w:i/>
          <w:sz w:val="20"/>
        </w:rPr>
        <w:t>et seq</w:t>
      </w:r>
      <w:r>
        <w:rPr>
          <w:rFonts w:ascii="Times New Roman" w:hAnsi="Times New Roman"/>
          <w:sz w:val="20"/>
        </w:rPr>
        <w:t xml:space="preserve">.), as amended by Section 1101 of Title XI (Revenue Provisions Related to Tax Compliance) of the Bipartisan Budget Act of 2015, H.R. 1314, Public Law Number 114-74 and any subsequent amendments thereto, together with any Treasury Regulations or other guidance issued thereunder. </w:t>
      </w:r>
    </w:p>
    <w:p>
      <w:pPr>
        <w:pStyle w:val="TextBody"/>
        <w:bidi w:val="0"/>
        <w:spacing w:before="240" w:after="0"/>
        <w:jc w:val="left"/>
        <w:rPr/>
      </w:pPr>
      <w:r>
        <w:rPr/>
        <w:t>“</w:t>
      </w:r>
      <w:r>
        <w:rPr>
          <w:rFonts w:ascii="Times New Roman" w:hAnsi="Times New Roman"/>
          <w:b/>
          <w:i/>
          <w:sz w:val="20"/>
        </w:rPr>
        <w:t>Schedule of Members</w:t>
      </w:r>
      <w:r>
        <w:rPr>
          <w:rFonts w:ascii="Times New Roman" w:hAnsi="Times New Roman"/>
          <w:sz w:val="20"/>
        </w:rPr>
        <w:t xml:space="preserve">” has the meaning set forth in </w:t>
      </w:r>
      <w:r>
        <w:rPr>
          <w:rFonts w:ascii="Times New Roman" w:hAnsi="Times New Roman"/>
          <w:sz w:val="20"/>
          <w:u w:val="single"/>
        </w:rPr>
        <w:t>Section 3.01(b)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SEC</w:t>
      </w:r>
      <w:r>
        <w:rPr>
          <w:rFonts w:ascii="Times New Roman" w:hAnsi="Times New Roman"/>
          <w:sz w:val="20"/>
        </w:rPr>
        <w:t xml:space="preserve">” means the U.S. Securities and Exchange Commission, including any governmental body or agency succeeding to the functions thereof. </w:t>
      </w:r>
    </w:p>
    <w:p>
      <w:pPr>
        <w:pStyle w:val="TextBody"/>
        <w:bidi w:val="0"/>
        <w:spacing w:before="240" w:after="0"/>
        <w:jc w:val="left"/>
        <w:rPr/>
      </w:pPr>
      <w:r>
        <w:rPr/>
        <w:t>“</w:t>
      </w:r>
      <w:r>
        <w:rPr>
          <w:rFonts w:ascii="Times New Roman" w:hAnsi="Times New Roman"/>
          <w:b/>
          <w:i/>
          <w:sz w:val="20"/>
        </w:rPr>
        <w:t>Secondary Offering</w:t>
      </w:r>
      <w:r>
        <w:rPr>
          <w:rFonts w:ascii="Times New Roman" w:hAnsi="Times New Roman"/>
          <w:sz w:val="20"/>
        </w:rPr>
        <w:t xml:space="preserve">” means a follow-on or secondary public offering of shares of Class A Common Stock by the Corporation following the IPO.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U.S.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w:t>
      </w:r>
    </w:p>
    <w:p>
      <w:pPr>
        <w:pStyle w:val="TextBody"/>
        <w:bidi w:val="0"/>
        <w:spacing w:before="240" w:after="0"/>
        <w:jc w:val="left"/>
        <w:rPr/>
      </w:pPr>
      <w:r>
        <w:rPr/>
        <w:t>“</w:t>
      </w:r>
      <w:r>
        <w:rPr>
          <w:rFonts w:ascii="Times New Roman" w:hAnsi="Times New Roman"/>
          <w:b/>
          <w:i/>
          <w:sz w:val="20"/>
        </w:rPr>
        <w:t>Share Settlement</w:t>
      </w:r>
      <w:r>
        <w:rPr>
          <w:rFonts w:ascii="Times New Roman" w:hAnsi="Times New Roman"/>
          <w:sz w:val="20"/>
        </w:rPr>
        <w:t xml:space="preserve">” means a number of shares of Class A Common Stock (together with any Corresponding Rights) equal to the number of Redeemed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Splitter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Splitter Liquidation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Splitter Members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Stock Exchange</w:t>
      </w:r>
      <w:r>
        <w:rPr>
          <w:rFonts w:ascii="Times New Roman" w:hAnsi="Times New Roman"/>
          <w:sz w:val="20"/>
        </w:rPr>
        <w:t xml:space="preserve">” means The Nasdaq Global Select Market. </w:t>
      </w:r>
    </w:p>
    <w:p>
      <w:pPr>
        <w:pStyle w:val="TextBody"/>
        <w:bidi w:val="0"/>
        <w:spacing w:before="240" w:after="0"/>
        <w:jc w:val="left"/>
        <w:rPr/>
      </w:pPr>
      <w:r>
        <w:rPr/>
        <w:t>“</w:t>
      </w:r>
      <w:r>
        <w:rPr>
          <w:rFonts w:ascii="Times New Roman" w:hAnsi="Times New Roman"/>
          <w:b/>
          <w:i/>
          <w:sz w:val="20"/>
        </w:rPr>
        <w:t>Stockholders Agreement</w:t>
      </w:r>
      <w:r>
        <w:rPr>
          <w:rFonts w:ascii="Times New Roman" w:hAnsi="Times New Roman"/>
          <w:sz w:val="20"/>
        </w:rPr>
        <w:t xml:space="preserve">” means that certain Stockholders Agreement, dated as of the Effective Date, by and among the Corporation, certain stockholders of the Corporation and certain of the Members as of the Effective Date (together with any joinder thereto from time to time by any successor or assign to any party to such agreement) (as it may be amended from time to time in accordance with its terms).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voting interests thereof are at the time owned or controlled, directly or indirectly, by any Person or one or more Subsidiaries of that Person or a combination thereof. For purposes hereof, references to a “Subsidiary” of the Company shall be given effect only at such times that the Company has one or more Subsidiaries, and, unless otherwise indicated, the term “Subsidiary” refers to a Subsidiary of the Company. </w:t>
      </w:r>
    </w:p>
    <w:p>
      <w:pPr>
        <w:pStyle w:val="TextBody"/>
        <w:bidi w:val="0"/>
        <w:spacing w:before="240" w:after="0"/>
        <w:jc w:val="left"/>
        <w:rPr/>
      </w:pPr>
      <w:r>
        <w:rPr/>
        <w:t>“</w:t>
      </w:r>
      <w:r>
        <w:rPr>
          <w:rFonts w:ascii="Times New Roman" w:hAnsi="Times New Roman"/>
          <w:b/>
          <w:i/>
          <w:sz w:val="20"/>
        </w:rPr>
        <w:t>Substituted Member</w:t>
      </w:r>
      <w:r>
        <w:rPr>
          <w:rFonts w:ascii="Times New Roman" w:hAnsi="Times New Roman"/>
          <w:sz w:val="20"/>
        </w:rPr>
        <w:t xml:space="preserve">” means a Person that is admitted as a Member to the Company pursuant to </w:t>
      </w:r>
      <w:r>
        <w:rPr>
          <w:rFonts w:ascii="Times New Roman" w:hAnsi="Times New Roman"/>
          <w:sz w:val="20"/>
          <w:u w:val="single"/>
        </w:rPr>
        <w:t>Section 12.01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Tax Distributions</w:t>
      </w:r>
      <w:r>
        <w:rPr>
          <w:rFonts w:ascii="Times New Roman" w:hAnsi="Times New Roman"/>
          <w:sz w:val="20"/>
        </w:rPr>
        <w:t xml:space="preserve">” has the meaning set forth in </w:t>
      </w:r>
      <w:r>
        <w:rPr>
          <w:rFonts w:ascii="Times New Roman" w:hAnsi="Times New Roman"/>
          <w:sz w:val="20"/>
          <w:u w:val="single"/>
        </w:rPr>
        <w:t>Section 4.01(b)(i)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Tax Receivable Agreement</w:t>
      </w:r>
      <w:r>
        <w:rPr>
          <w:rFonts w:ascii="Times New Roman" w:hAnsi="Times New Roman"/>
          <w:sz w:val="20"/>
        </w:rPr>
        <w:t xml:space="preserve">” means that certain Tax Receivable Agreement, dated as of the Effective Date, by and among the Corporation and the Company, on the one hand, and the TRA Holders (as such term is defined in the Tax Receivable Agreement) party thereto, on the other hand (together with any joinder thereto from time to time by any successor or assign to any party to such agreement) (as it may be amended from time to time in accordance with its terms). </w:t>
      </w:r>
    </w:p>
    <w:p>
      <w:pPr>
        <w:pStyle w:val="TextBody"/>
        <w:bidi w:val="0"/>
        <w:spacing w:before="240" w:after="0"/>
        <w:jc w:val="left"/>
        <w:rPr/>
      </w:pPr>
      <w:r>
        <w:rPr/>
        <w:t>“</w:t>
      </w:r>
      <w:r>
        <w:rPr>
          <w:rFonts w:ascii="Times New Roman" w:hAnsi="Times New Roman"/>
          <w:b/>
          <w:i/>
          <w:sz w:val="20"/>
        </w:rPr>
        <w:t>Taxable Year</w:t>
      </w:r>
      <w:r>
        <w:rPr>
          <w:rFonts w:ascii="Times New Roman" w:hAnsi="Times New Roman"/>
          <w:sz w:val="20"/>
        </w:rPr>
        <w:t xml:space="preserve">” means the Company’s accounting period for U.S. federal income tax purposes determined pursuant to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Stock Exchange or such other principal United States securities exchange on which the Class A Common Stock is listed or admitted to trading is open for the transaction of business (unless such trading shall have been suspended for the entire day). </w:t>
      </w:r>
    </w:p>
    <w:p>
      <w:pPr>
        <w:pStyle w:val="TextBody"/>
        <w:bidi w:val="0"/>
        <w:spacing w:before="240" w:after="0"/>
        <w:jc w:val="left"/>
        <w:rPr/>
      </w:pPr>
      <w:r>
        <w:rPr/>
        <w:t>“</w:t>
      </w:r>
      <w:r>
        <w:rPr>
          <w:rFonts w:ascii="Times New Roman" w:hAnsi="Times New Roman"/>
          <w:b/>
          <w:i/>
          <w:sz w:val="20"/>
        </w:rPr>
        <w:t>Transfer</w:t>
      </w:r>
      <w:r>
        <w:rPr>
          <w:rFonts w:ascii="Times New Roman" w:hAnsi="Times New Roman"/>
          <w:sz w:val="20"/>
        </w:rPr>
        <w:t>” (and, with a correlative meaning, “</w:t>
      </w:r>
      <w:r>
        <w:rPr>
          <w:rFonts w:ascii="Times New Roman" w:hAnsi="Times New Roman"/>
          <w:b/>
          <w:i/>
          <w:sz w:val="20"/>
        </w:rPr>
        <w:t>Transferring</w:t>
      </w:r>
      <w:r>
        <w:rPr>
          <w:rFonts w:ascii="Times New Roman" w:hAnsi="Times New Roman"/>
          <w:sz w:val="20"/>
        </w:rPr>
        <w:t xml:space="preserve">”) means any sale, transfer, assignment, redemption, pledge, encumbrance or other disposition of (whether directly or indirectly, whether with or without consideration and whether voluntarily or involuntarily or by operation of Law) (a) any interest (legal or beneficial) in any Equity Securities or (b) any equity or other interest (legal or beneficial) in any Member if substantially all of the assets of such Member consist solely of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Treasury Regulations</w:t>
      </w:r>
      <w:r>
        <w:rPr>
          <w:rFonts w:ascii="Times New Roman" w:hAnsi="Times New Roman"/>
          <w:sz w:val="20"/>
        </w:rPr>
        <w:t xml:space="preserve">” means the final, temporary and (to the extent they can be relied upon or are otherwise explicitly referenced in this Agreement) proposed regulations under the Code, as promulgated from time to time (including corresponding provisions and succeeding provisions) as in effect for the relevant taxable period. </w:t>
      </w:r>
    </w:p>
    <w:p>
      <w:pPr>
        <w:pStyle w:val="TextBody"/>
        <w:bidi w:val="0"/>
        <w:spacing w:before="240" w:after="0"/>
        <w:jc w:val="left"/>
        <w:rPr/>
      </w:pPr>
      <w:r>
        <w:rPr/>
        <w:t>“</w:t>
      </w:r>
      <w:r>
        <w:rPr>
          <w:rFonts w:ascii="Times New Roman" w:hAnsi="Times New Roman"/>
          <w:b/>
          <w:i/>
          <w:sz w:val="20"/>
        </w:rPr>
        <w:t>Unit</w:t>
      </w:r>
      <w:r>
        <w:rPr>
          <w:rFonts w:ascii="Times New Roman" w:hAnsi="Times New Roman"/>
          <w:sz w:val="20"/>
        </w:rPr>
        <w:t xml:space="preserve">” means the fractional interest of a Member in Profits, Losses and Distributions of the Company, and otherwise having the rights and obligations specified with respect to “Units” in this Agreement; </w:t>
      </w:r>
      <w:r>
        <w:rPr>
          <w:rFonts w:ascii="Times New Roman" w:hAnsi="Times New Roman"/>
          <w:i/>
          <w:sz w:val="20"/>
        </w:rPr>
        <w:t xml:space="preserve">provided, however, </w:t>
      </w:r>
      <w:r>
        <w:rPr>
          <w:rFonts w:ascii="Times New Roman" w:hAnsi="Times New Roman"/>
          <w:sz w:val="20"/>
        </w:rPr>
        <w:t xml:space="preserve">that any class or group of Units issued shall have the relative rights, powers and duties set forth in this Agreement applicable to such class or group of Units. </w:t>
      </w:r>
    </w:p>
    <w:p>
      <w:pPr>
        <w:pStyle w:val="TextBody"/>
        <w:bidi w:val="0"/>
        <w:spacing w:before="240" w:after="0"/>
        <w:jc w:val="left"/>
        <w:rPr/>
      </w:pPr>
      <w:r>
        <w:rPr/>
        <w:t>“</w:t>
      </w:r>
      <w:r>
        <w:rPr>
          <w:rFonts w:ascii="Times New Roman" w:hAnsi="Times New Roman"/>
          <w:b/>
          <w:i/>
          <w:sz w:val="20"/>
        </w:rPr>
        <w:t>Unvested Corporate Shares</w:t>
      </w:r>
      <w:r>
        <w:rPr>
          <w:rFonts w:ascii="Times New Roman" w:hAnsi="Times New Roman"/>
          <w:sz w:val="20"/>
        </w:rPr>
        <w:t xml:space="preserve">” means shares of Class A Common Stock issuable pursuant to awards granted under an Equity Plan that are not Vested Corporate Shares. </w:t>
      </w:r>
    </w:p>
    <w:p>
      <w:pPr>
        <w:pStyle w:val="TextBody"/>
        <w:bidi w:val="0"/>
        <w:spacing w:before="240" w:after="0"/>
        <w:jc w:val="left"/>
        <w:rPr/>
      </w:pPr>
      <w:r>
        <w:rPr/>
        <w:t>“</w:t>
      </w:r>
      <w:r>
        <w:rPr>
          <w:rFonts w:ascii="Times New Roman" w:hAnsi="Times New Roman"/>
          <w:b/>
          <w:i/>
          <w:sz w:val="20"/>
        </w:rPr>
        <w:t>Unvested Unit</w:t>
      </w:r>
      <w:r>
        <w:rPr>
          <w:rFonts w:ascii="Times New Roman" w:hAnsi="Times New Roman"/>
          <w:sz w:val="20"/>
        </w:rPr>
        <w:t xml:space="preserve">” means any Common Unit that is not a Vested Unit. </w:t>
      </w:r>
    </w:p>
    <w:p>
      <w:pPr>
        <w:pStyle w:val="TextBody"/>
        <w:bidi w:val="0"/>
        <w:spacing w:before="240" w:after="0"/>
        <w:jc w:val="left"/>
        <w:rPr/>
      </w:pPr>
      <w:r>
        <w:rPr/>
        <w:t>“</w:t>
      </w:r>
      <w:r>
        <w:rPr>
          <w:rFonts w:ascii="Times New Roman" w:hAnsi="Times New Roman"/>
          <w:b/>
          <w:i/>
          <w:sz w:val="20"/>
        </w:rPr>
        <w:t>Value</w:t>
      </w:r>
      <w:r>
        <w:rPr>
          <w:rFonts w:ascii="Times New Roman" w:hAnsi="Times New Roman"/>
          <w:sz w:val="20"/>
        </w:rPr>
        <w:t xml:space="preserve">” means (a) for any stock option or other incentive equity award granted under an Equity Plan that requires the holder thereof to exercise such award, the Market Price for the Trading Day immediately preceding the date of exercise of such award under the Equity Plan and (b) for any other incentive equity award granted under an Equity Plan that does not require the holder thereof to exercise such award, the Market Price for the Trading Day immediately preceding the Vesting Date. </w:t>
      </w:r>
    </w:p>
    <w:p>
      <w:pPr>
        <w:pStyle w:val="TextBody"/>
        <w:bidi w:val="0"/>
        <w:spacing w:before="240" w:after="0"/>
        <w:jc w:val="left"/>
        <w:rPr/>
      </w:pPr>
      <w:r>
        <w:rPr/>
        <w:t>“</w:t>
      </w:r>
      <w:r>
        <w:rPr>
          <w:rFonts w:ascii="Times New Roman" w:hAnsi="Times New Roman"/>
          <w:b/>
          <w:i/>
          <w:sz w:val="20"/>
        </w:rPr>
        <w:t>Vested Corporate Shares</w:t>
      </w:r>
      <w:r>
        <w:rPr>
          <w:rFonts w:ascii="Times New Roman" w:hAnsi="Times New Roman"/>
          <w:sz w:val="20"/>
        </w:rPr>
        <w:t xml:space="preserve">” means the shares of Class A Common Stock issued pursuant to awards granted under an Equity Plan that are vested pursuant to the terms thereof or any award or similar agreement relating thereto. </w:t>
      </w:r>
    </w:p>
    <w:p>
      <w:pPr>
        <w:pStyle w:val="TextBody"/>
        <w:bidi w:val="0"/>
        <w:spacing w:before="240" w:after="0"/>
        <w:jc w:val="left"/>
        <w:rPr/>
      </w:pPr>
      <w:r>
        <w:rPr/>
        <w:t>“</w:t>
      </w:r>
      <w:r>
        <w:rPr>
          <w:rFonts w:ascii="Times New Roman" w:hAnsi="Times New Roman"/>
          <w:b/>
          <w:i/>
          <w:sz w:val="20"/>
        </w:rPr>
        <w:t>Vested Unit</w:t>
      </w:r>
      <w:r>
        <w:rPr>
          <w:rFonts w:ascii="Times New Roman" w:hAnsi="Times New Roman"/>
          <w:sz w:val="20"/>
        </w:rPr>
        <w:t xml:space="preserve">” means, on any date of determination, any Common Unit to the extent (a) a Member’s right to any such Common Unit has vested as a result of the Corresponding Management Unit having vested in accordance with the terms of the applicable Restricted Unit Award Agreement or (b) such Common Unit is not subject to vesting. </w:t>
      </w:r>
    </w:p>
    <w:p>
      <w:pPr>
        <w:pStyle w:val="TextBody"/>
        <w:bidi w:val="0"/>
        <w:spacing w:before="240" w:after="0"/>
        <w:jc w:val="left"/>
        <w:rPr/>
      </w:pPr>
      <w:r>
        <w:rPr/>
        <w:t>“</w:t>
      </w:r>
      <w:r>
        <w:rPr>
          <w:rFonts w:ascii="Times New Roman" w:hAnsi="Times New Roman"/>
          <w:b/>
          <w:i/>
          <w:sz w:val="20"/>
        </w:rPr>
        <w:t>Vesting Date</w:t>
      </w:r>
      <w:r>
        <w:rPr>
          <w:rFonts w:ascii="Times New Roman" w:hAnsi="Times New Roman"/>
          <w:sz w:val="20"/>
        </w:rPr>
        <w:t xml:space="preserve">” has the meaning set forth in </w:t>
      </w:r>
      <w:r>
        <w:rPr>
          <w:rFonts w:ascii="Times New Roman" w:hAnsi="Times New Roman"/>
          <w:sz w:val="20"/>
          <w:u w:val="single"/>
        </w:rPr>
        <w:t>Section 3.10(c)(ii)</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ORGANIZATIONAL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Formation of Company</w:t>
      </w:r>
      <w:r>
        <w:rPr>
          <w:rFonts w:ascii="Times New Roman" w:hAnsi="Times New Roman"/>
          <w:sz w:val="20"/>
        </w:rPr>
        <w:t xml:space="preserve">. The Company was formed on December 16, 2021 pursuant to the provisions of the Delaware Act. The filing of the Certificate of Formation of the Company with the Secretary of State of the State of Delaware is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Second Amended and Restated Limited Liability Company Agreement</w:t>
      </w:r>
      <w:r>
        <w:rPr>
          <w:rFonts w:ascii="Times New Roman" w:hAnsi="Times New Roman"/>
          <w:sz w:val="20"/>
        </w:rPr>
        <w:t xml:space="preserve">. The Members hereby execute this Agreement for the purpose of amending, restating and superseding the Initial LLC Agreement in its entirety and otherwise establishing the affairs of the Company and the conduct of its business in accordance with the provisions of the Delaware Act. The Members hereby agree that during the term of the Company set forth in </w:t>
      </w:r>
      <w:r>
        <w:rPr>
          <w:rFonts w:ascii="Times New Roman" w:hAnsi="Times New Roman"/>
          <w:sz w:val="20"/>
          <w:u w:val="single"/>
        </w:rPr>
        <w:t>Section 2.06</w:t>
      </w:r>
      <w:r>
        <w:rPr>
          <w:rFonts w:ascii="Times New Roman" w:hAnsi="Times New Roman"/>
          <w:sz w:val="20"/>
        </w:rPr>
        <w:t xml:space="preserve"> the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obligations of the Members with respect to the Company will be determined in accordance with the terms and conditions of this Agreement and the Delaware Act.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Neither any Member nor the Manager nor any other Person shall have appraisal rights with respect to any Units.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Name</w:t>
      </w:r>
      <w:r>
        <w:rPr>
          <w:rFonts w:ascii="Times New Roman" w:hAnsi="Times New Roman"/>
          <w:sz w:val="20"/>
        </w:rPr>
        <w:t xml:space="preserve">. The name of the Company is “ITG Parent, LLC”. The Manager, in its sole discretion, may change the name of the Company at any time and from time to time. Notification of any such change shall be given to all of the Members. The Company’s business may be conducted under its name and/or any other name or names deemed advisable by the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Purpose; Powers</w:t>
      </w:r>
      <w:r>
        <w:rPr>
          <w:rFonts w:ascii="Times New Roman" w:hAnsi="Times New Roman"/>
          <w:sz w:val="20"/>
        </w:rPr>
        <w:t xml:space="preserve">. The primary business and purpose of the Company shall be to engage in such activities as are permitted under the Delaware Act and determined from time to time by the Manager in accordance with the terms and conditions of this Agreement. The Company shall have the power and authority to take (directly or indirectly through its Subsidiaries) any and all actions and engage in any and all activities necessary, appropriate, desirable, advisable, ancillary or incidental to accomplish the foregoing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Principal Office; Registered Office</w:t>
      </w:r>
      <w:r>
        <w:rPr>
          <w:rFonts w:ascii="Times New Roman" w:hAnsi="Times New Roman"/>
          <w:sz w:val="20"/>
        </w:rPr>
        <w:t xml:space="preserve">. The principal office of the Company shall be located at such place or places as the Manager may from time to time designate, each of which may be within or outside the State of Delaware. The Company may have such other offices as the Manager may designate from time to time. The registered office of the Company required by the Delaware Act to be maintained in the State of Delaware shall be the office of the initial registered agent named in the Certificate or such other office (which need not be a place of business of the Company) as the Manager may designate from time to time in the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Term</w:t>
      </w:r>
      <w:r>
        <w:rPr>
          <w:rFonts w:ascii="Times New Roman" w:hAnsi="Times New Roman"/>
          <w:sz w:val="20"/>
        </w:rPr>
        <w:t xml:space="preserve">. The term of the Company commenced upon the filing of the Certificate in accordance with the Delaware Act and shall continue in perpetuity unless dissolved in accordance with the provisions of </w:t>
      </w:r>
      <w:r>
        <w:rPr>
          <w:rFonts w:ascii="Times New Roman" w:hAnsi="Times New Roman"/>
          <w:sz w:val="20"/>
          <w:u w:val="single"/>
        </w:rPr>
        <w:t>Article XIV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No State-Law Partnership</w:t>
      </w:r>
      <w:r>
        <w:rPr>
          <w:rFonts w:ascii="Times New Roman" w:hAnsi="Times New Roman"/>
          <w:sz w:val="20"/>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the last sentence of this </w:t>
      </w:r>
      <w:r>
        <w:rPr>
          <w:rFonts w:ascii="Times New Roman" w:hAnsi="Times New Roman"/>
          <w:sz w:val="20"/>
          <w:u w:val="single"/>
        </w:rPr>
        <w:t>Section 2.07</w:t>
      </w:r>
      <w:r>
        <w:rPr>
          <w:rFonts w:ascii="Times New Roman" w:hAnsi="Times New Roman"/>
          <w:sz w:val="20"/>
        </w:rPr>
        <w:t xml:space="preserve">,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MEMBERS; UNITS;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Members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connection with the reorganization transactions (as described in the Recitals), the Splitter Members acquired Original Units (which will be converted into Common Units pursuant to the Recapitalization in accordance with </w:t>
      </w:r>
      <w:r>
        <w:rPr>
          <w:rFonts w:ascii="Times New Roman" w:hAnsi="Times New Roman"/>
          <w:sz w:val="20"/>
          <w:u w:val="single"/>
        </w:rPr>
        <w:t>Section 3.03</w:t>
      </w:r>
      <w:r>
        <w:rPr>
          <w:rFonts w:ascii="Times New Roman" w:hAnsi="Times New Roman"/>
          <w:sz w:val="20"/>
        </w:rPr>
        <w:t xml:space="preserve">) and were admitted as Members. </w:t>
      </w:r>
    </w:p>
    <w:p>
      <w:pPr>
        <w:pStyle w:val="TextBody"/>
        <w:bidi w:val="0"/>
        <w:spacing w:before="120" w:after="0"/>
        <w:jc w:val="left"/>
        <w:rPr>
          <w:rFonts w:ascii="Times New Roman" w:hAnsi="Times New Roman"/>
          <w:sz w:val="20"/>
        </w:rPr>
      </w:pPr>
      <w:r>
        <w:rPr>
          <w:rFonts w:ascii="Times New Roman" w:hAnsi="Times New Roman"/>
          <w:sz w:val="20"/>
        </w:rPr>
        <w:t>(b) The Company shall maintain a schedule setting forth: (i) the name and address of each Member and (ii) the aggregate number of outstanding Units and the number and class of Units held by each Member (such schedule, the “</w:t>
      </w:r>
      <w:r>
        <w:rPr>
          <w:rFonts w:ascii="Times New Roman" w:hAnsi="Times New Roman"/>
          <w:b/>
          <w:i/>
          <w:sz w:val="20"/>
        </w:rPr>
        <w:t>Schedule of Members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The applicable Schedule of Members in effect as of the Effective Date and after giving effect to the Reorganization and Recapitalization is set forth as </w:t>
      </w:r>
      <w:r>
        <w:rPr>
          <w:rFonts w:ascii="Times New Roman" w:hAnsi="Times New Roman"/>
          <w:sz w:val="20"/>
          <w:u w:val="single"/>
        </w:rPr>
        <w:t>Schedule 2</w:t>
      </w:r>
      <w:r>
        <w:rPr>
          <w:rFonts w:ascii="Times New Roman" w:hAnsi="Times New Roman"/>
          <w:sz w:val="20"/>
        </w:rPr>
        <w:t xml:space="preserve"> to this Agreement. The Company shall also maintain a record of (1) the aggregate amount of cash Capital Contributions that has been made by the Members with respect to their Units and (2) the Fair Market Value of any property other than cash contributed by the Members with respect to their Units (including, if applicable, a description and the amount of any liability assumed by the Company or to which contributed property is subject) in its books and records. The Schedule of Members may be updated by the Manager in the Company’s books and records from time to time, and as so updated, it shall be the definitive record of ownership of each Unit of the Company and all relevant information with respect to each Member.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Delaware Act. </w:t>
      </w:r>
    </w:p>
    <w:p>
      <w:pPr>
        <w:pStyle w:val="TextBody"/>
        <w:bidi w:val="0"/>
        <w:spacing w:before="120" w:after="0"/>
        <w:jc w:val="left"/>
        <w:rPr>
          <w:rFonts w:ascii="Times New Roman" w:hAnsi="Times New Roman"/>
          <w:sz w:val="20"/>
        </w:rPr>
      </w:pPr>
      <w:r>
        <w:rPr>
          <w:rFonts w:ascii="Times New Roman" w:hAnsi="Times New Roman"/>
          <w:sz w:val="20"/>
        </w:rPr>
        <w:t xml:space="preserve">(c) No Member shall be required or, except as approved by the Manager pursuant to </w:t>
      </w:r>
      <w:r>
        <w:rPr>
          <w:rFonts w:ascii="Times New Roman" w:hAnsi="Times New Roman"/>
          <w:sz w:val="20"/>
          <w:u w:val="single"/>
        </w:rPr>
        <w:t>Section 6.01</w:t>
      </w:r>
      <w:r>
        <w:rPr>
          <w:rFonts w:ascii="Times New Roman" w:hAnsi="Times New Roman"/>
          <w:sz w:val="20"/>
        </w:rPr>
        <w:t xml:space="preserve"> and in accordance with the other provisions of this Agreement, permitted to (i) loan any money or property to the Company, (ii) borrow any money or property from the Company or (iii) make any additional Capital Contributions (other than the Corporation or its Subsidiaries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Interests in the Company shall be represented by Units, or such other securities of the Company, in each case as the Manager may establish in its discretion in accordance with the terms and subject to the restrictions hereof. At the Effective Date, the Units will be comprised of a single class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3.04(a)</w:t>
      </w:r>
      <w:r>
        <w:rPr>
          <w:rFonts w:ascii="Times New Roman" w:hAnsi="Times New Roman"/>
          <w:sz w:val="20"/>
        </w:rPr>
        <w:t xml:space="preserve">, the Manager may cause the Company to (i) issue additional Common Units at any time in its sole discretion and (ii) create one or more classes or series of Units or preferred Units solely to the extent such new class or series of Units or preferred Units are substantially economically equivalent to a class of common or other stock of the Corporation or class or series of preferred stock of the Corporation, respectively; </w:t>
      </w:r>
      <w:r>
        <w:rPr>
          <w:rFonts w:ascii="Times New Roman" w:hAnsi="Times New Roman"/>
          <w:i/>
          <w:sz w:val="20"/>
        </w:rPr>
        <w:t xml:space="preserve">provided, </w:t>
      </w:r>
      <w:r>
        <w:rPr>
          <w:rFonts w:ascii="Times New Roman" w:hAnsi="Times New Roman"/>
          <w:sz w:val="20"/>
        </w:rPr>
        <w:t xml:space="preserve">that, notwithstanding anything to the contrary in this </w:t>
      </w:r>
      <w:r>
        <w:rPr>
          <w:rFonts w:ascii="Times New Roman" w:hAnsi="Times New Roman"/>
          <w:sz w:val="20"/>
          <w:u w:val="single"/>
        </w:rPr>
        <w:t>Section 3.02(b)</w:t>
      </w:r>
      <w:r>
        <w:rPr>
          <w:rFonts w:ascii="Times New Roman" w:hAnsi="Times New Roman"/>
          <w:sz w:val="20"/>
        </w:rPr>
        <w:t xml:space="preserve"> or </w:t>
      </w:r>
      <w:r>
        <w:rPr>
          <w:rFonts w:ascii="Times New Roman" w:hAnsi="Times New Roman"/>
          <w:sz w:val="20"/>
          <w:u w:val="single"/>
        </w:rPr>
        <w:t>Section 3.04(a)</w:t>
      </w:r>
      <w:r>
        <w:rPr>
          <w:rFonts w:ascii="Times New Roman" w:hAnsi="Times New Roman"/>
          <w:sz w:val="20"/>
        </w:rPr>
        <w:t xml:space="preserve">, as long as there are any Members (other than the Corporation and its Subsidiaries) (x) no such new class or series of Units may deprive such Members of, or dilute or reduce, the allocations and distributions they would have received, and the other rights and benefits to which they would have been entitled, in respect of their Units if such new class or series of Units had not been created and (y) no such new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series of Units may be issued, in each case, except to the extent (and solely to the extent) the Company actually receives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 in each case of clauses (x) and (y) other than in connection with the creation and issuance of one or more classes or series of Units issued in accordance with any Equity Plan; </w:t>
      </w:r>
      <w:r>
        <w:rPr>
          <w:rFonts w:ascii="Times New Roman" w:hAnsi="Times New Roman"/>
          <w:i/>
          <w:sz w:val="20"/>
        </w:rPr>
        <w:t xml:space="preserve">provided further, </w:t>
      </w:r>
      <w:r>
        <w:rPr>
          <w:rFonts w:ascii="Times New Roman" w:hAnsi="Times New Roman"/>
          <w:sz w:val="20"/>
        </w:rPr>
        <w:t xml:space="preserve">that no Units or other Equity Securities shall be issued except in compliance with the Securities Act and all other applicable securities Laws, including the availability of an exemption from registration thereunder.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Common Units that correspond to Corresponding Management Units are subject to the same vesting, forfeiture and other terms and conditions as set forth in Restricted Unit Award Agreements applicable to Corresponding Management Units,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(d) Unvested Units shall be subject to the terms of this Agreement and the Restricted Unit Award Agreements applicable to the Corresponding Management Units. ITG MH Manager, LLC, as manager of Management Holdings, shall have sole and absolute discretion to interpret and administer the Restricted Unit Award Agreements and to adopt such amendments thereto or otherwise determine the terms and conditions of such Corresponding Management Units (and if Management Holdings no longer exists, the Company shall have such rights in respect of any Equity Securities received in exchange for such Corresponding Management Units). Unvested Units that fail to vest as a result of the Corresponding Management Units’ failure to vest and are forfeited by the applicable Member in connection with the corresponding forfeiture of such Corresponding Management Units, or Vested Units that are forfeited by the applicable Member as a result of the Corresponding Management Units’ forfeiture, in each case, in accordance with the Management Holdings Agreement or the Restricted Unit Award Agreement, shall be cancelled by the Company (and corresponding shares of Class B Common Stock held by the applicable Member shall be automatically cancelled, in each case for no consideration) and shall not be entitled to any Distributions pursuant to </w:t>
      </w:r>
      <w:r>
        <w:rPr>
          <w:rFonts w:ascii="Times New Roman" w:hAnsi="Times New Roman"/>
          <w:sz w:val="20"/>
          <w:u w:val="single"/>
        </w:rPr>
        <w:t>Section 4.01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Subject to </w:t>
      </w:r>
      <w:r>
        <w:rPr>
          <w:rFonts w:ascii="Times New Roman" w:hAnsi="Times New Roman"/>
          <w:sz w:val="20"/>
          <w:u w:val="single"/>
        </w:rPr>
        <w:t>Section 15.02</w:t>
      </w:r>
      <w:r>
        <w:rPr>
          <w:rFonts w:ascii="Times New Roman" w:hAnsi="Times New Roman"/>
          <w:sz w:val="20"/>
        </w:rPr>
        <w:t xml:space="preserve">, the Manager may amend this Agreement, without the consent of any Member or any other Person, in connection with the creation and issuance of such classes or series of Units, subject and pursuant to </w:t>
      </w:r>
      <w:r>
        <w:rPr>
          <w:rFonts w:ascii="Times New Roman" w:hAnsi="Times New Roman"/>
          <w:sz w:val="20"/>
          <w:u w:val="single"/>
        </w:rPr>
        <w:t>Sections 3.02(b)</w:t>
      </w:r>
      <w:r>
        <w:rPr>
          <w:rFonts w:ascii="Times New Roman" w:hAnsi="Times New Roman"/>
          <w:sz w:val="20"/>
        </w:rPr>
        <w:t xml:space="preserve">, </w:t>
      </w:r>
      <w:r>
        <w:rPr>
          <w:rFonts w:ascii="Times New Roman" w:hAnsi="Times New Roman"/>
          <w:sz w:val="20"/>
          <w:u w:val="single"/>
        </w:rPr>
        <w:t>3.04(a)</w:t>
      </w:r>
      <w:r>
        <w:rPr>
          <w:rFonts w:ascii="Times New Roman" w:hAnsi="Times New Roman"/>
          <w:sz w:val="20"/>
        </w:rPr>
        <w:t xml:space="preserve"> or </w:t>
      </w:r>
      <w:r>
        <w:rPr>
          <w:rFonts w:ascii="Times New Roman" w:hAnsi="Times New Roman"/>
          <w:sz w:val="20"/>
          <w:u w:val="single"/>
        </w:rPr>
        <w:t>3.10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Recapitalization; the Corporation’s Indirect Capital Contributions; the Option Unit Redemptions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order to effect the Recapitalization, the number of Original Units that were issued and outstanding and held by the Pre-IPO Members prior to the Effective Date as set forth opposite the respective Pre-IPO Member in </w:t>
      </w:r>
      <w:r>
        <w:rPr>
          <w:rFonts w:ascii="Times New Roman" w:hAnsi="Times New Roman"/>
          <w:sz w:val="20"/>
          <w:u w:val="single"/>
        </w:rPr>
        <w:t>Schedule 1</w:t>
      </w:r>
      <w:r>
        <w:rPr>
          <w:rFonts w:ascii="Times New Roman" w:hAnsi="Times New Roman"/>
          <w:sz w:val="20"/>
        </w:rPr>
        <w:t xml:space="preserve"> are hereby converted, as of the Effective Date, taking into account and adjusted for any distribution considered an advance to a Pre-IPO Member that remains outstanding as of the Effective Date and giving effect to such conversion and the other transactions related to the Recapitalization, into the number of Common Units set forth opposite the name of the respective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Schedule of Members attached hereto as </w:t>
      </w:r>
      <w:r>
        <w:rPr>
          <w:rFonts w:ascii="Times New Roman" w:hAnsi="Times New Roman"/>
          <w:sz w:val="20"/>
          <w:u w:val="single"/>
        </w:rPr>
        <w:t>Schedule 2</w:t>
      </w:r>
      <w:r>
        <w:rPr>
          <w:rFonts w:ascii="Times New Roman" w:hAnsi="Times New Roman"/>
          <w:sz w:val="20"/>
        </w:rPr>
        <w:t xml:space="preserve">. Such Common Units set forth on </w:t>
      </w:r>
      <w:r>
        <w:rPr>
          <w:rFonts w:ascii="Times New Roman" w:hAnsi="Times New Roman"/>
          <w:sz w:val="20"/>
          <w:u w:val="single"/>
        </w:rPr>
        <w:t>Schedule 2</w:t>
      </w:r>
      <w:r>
        <w:rPr>
          <w:rFonts w:ascii="Times New Roman" w:hAnsi="Times New Roman"/>
          <w:sz w:val="20"/>
        </w:rPr>
        <w:t xml:space="preserve"> are hereby issued and outstanding as of the Effective Date and the holders of such Common Units are Members hereunder. The terms and conditions applicable to any Original Unit set forth in the applicable subscription agreement, Restricted Unit Award Agreement or other agreement pursuant to which such Original Unit was issued (the applicable “</w:t>
      </w:r>
      <w:r>
        <w:rPr>
          <w:rFonts w:ascii="Times New Roman" w:hAnsi="Times New Roman"/>
          <w:b/>
          <w:i/>
          <w:sz w:val="20"/>
        </w:rPr>
        <w:t>Issuance Agreement</w:t>
      </w:r>
      <w:r>
        <w:rPr>
          <w:rFonts w:ascii="Times New Roman" w:hAnsi="Times New Roman"/>
          <w:sz w:val="20"/>
        </w:rPr>
        <w:t xml:space="preserve">”), including (without limitation) any vesting, forfeiture, repurchase and similar restrictions, shall continue in full force and effect with respect to the Common Units held by the holder of such Original Units following the Recapitalization in accordance with the terms of the applicable Issuance Agreement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Immediately following the IPO, the Corporation will contribute the IPO Net Proceeds to Intermediate, which will contribute the IPO Net Proceeds received from the Corporation to the Company as a Capital Contribution in exchange for Common Units, and the Company will use the IPO Net Proceeds for Debt Paydown and Corporate Purposes. </w:t>
      </w:r>
      <w:r>
        <w:rPr>
          <w:rFonts w:ascii="Times New Roman" w:hAnsi="Times New Roman"/>
          <w:sz w:val="20"/>
          <w:u w:val="single"/>
        </w:rPr>
        <w:t>Schedule 2</w:t>
      </w:r>
      <w:r>
        <w:rPr>
          <w:rFonts w:ascii="Times New Roman" w:hAnsi="Times New Roman"/>
          <w:sz w:val="20"/>
        </w:rPr>
        <w:t xml:space="preserve"> shall be updated to reflect such issuances.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Authorization and Issuance of Additional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determined by the Manager in good faith to be fair and reasonable to the stockholders and other equityholders of the Corporation and to the Members to preserve the intended economic effect of this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11.01</w:t>
      </w:r>
      <w:r>
        <w:rPr>
          <w:rFonts w:ascii="Times New Roman" w:hAnsi="Times New Roman"/>
          <w:sz w:val="20"/>
        </w:rPr>
        <w:t xml:space="preserve"> and the other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the Corporation shall undertake all actions, including, without limitation, an issuance, reclassification, distribution, division or recapitalization, with respect to the Common Units and the Class A Common Stock or Class B Common Stock, as applicable, to maintain at all times (i) a one-to-one ratio between the number of Common Units owned by the Corporation, directly or indirectly, and the number of outstanding shares of Class A Common Stock and (ii) a one-to-one ratio between the number of Common Units owned by Members (other than the Corporation and its Subsidiaries), directly or indirectly, and the number of outstanding shares of Class B Common Stock owned by such Members, in each case, disregarding, for purposes of maintaining the one-to-one ratio, (A) Unvested Corporate Shares (subject to </w:t>
      </w:r>
      <w:r>
        <w:rPr>
          <w:rFonts w:ascii="Times New Roman" w:hAnsi="Times New Roman"/>
          <w:sz w:val="20"/>
          <w:u w:val="single"/>
        </w:rPr>
        <w:t>Section 3.10(c)</w:t>
      </w:r>
      <w:r>
        <w:rPr>
          <w:rFonts w:ascii="Times New Roman" w:hAnsi="Times New Roman"/>
          <w:sz w:val="20"/>
        </w:rPr>
        <w:t xml:space="preserve">) or (B) treasury stock.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the Corporation issues, transfers or delivers from treasury stock or repurchases Class A Common Stock in a transaction not contemplated in this Agreement, the Manager and the Corporation shall take all actions such that, after giving effect to all such issuances, transfers, deliveries or repurchases, the number of outstanding Common Units owned, directly or indirectly, by the Corporation will equal on a one-for-one basis the number of outstanding shares of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the event the Corporation issues, transfers or delivers from treasury stock or repurchases or redeems the Corporation’s preferred stock or other debt or equity securities (including, without limitation, warrants, options or rights) in a transaction not contemplated in this Agreement, the Manager and the Corporation shall take all actions such that, after giving effect to all such issuances, transfers, deliveries, repurchases or redemptions, the Corporation, directly or indirectly, holds (in the case of any issuance, transfer or delivery) or ceases to hold (in the case of any repurchase or redemption) equity interests in the Company which (in the good faith determination by the Manager) are in the aggregate substantially economically equivalent to the outstanding preferred stock or other debt or equity securities (including, without limitation, warrants, options or rights) of the Corporation so issued, transferred, delivered, repurchased or redeemed.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and the Corporation shall not undertake any subdivision (by any Common Unit split, stock split, Common Unit distribution, stock distribution, reclassification, division, recapitalization or similar event) or combination (by reverse Common Unit split, reverse stock split, reclassification, division, recapitalization or similar event) of the Common Units, Class A Common Stock or Class B Common Stock, as applicable, that is not accompanied by an identical subdivision or combination of Class A Common Stock, Class B Common Stock or Common Units, respectively, to maintain at all times (x) a one-to-one ratio between the number of Common Units owned, directly or indirectly, by the Corporation and the number of outstanding shares of Class A Common Stock or (y) a one-to-one ratio between the number of Common Units owned by Members (other than the Corporation and its Subsidiaries) and the number of outstanding shares of Class B Common Stock, in each case, unless such action is necessary to maintain at all times a one-to-one ratio between either the number of Common Units owned, directly or indirectly, by the Corporation and the number of outstanding shares of Class A Common Stock or the number of Common Units owned by Members (other than the Corporation and its Subsidiaries) and the number of outstanding shares of Class B Common Stock as contemplated by the first sentence of this </w:t>
      </w:r>
      <w:r>
        <w:rPr>
          <w:rFonts w:ascii="Times New Roman" w:hAnsi="Times New Roman"/>
          <w:sz w:val="20"/>
          <w:u w:val="single"/>
        </w:rPr>
        <w:t>Section 3.04(a)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only be permitted to issue additional Common Units, and/or establish other classes or series of Units or other Equity Securities in the Company to the Persons and on the terms and conditions provided for in </w:t>
      </w:r>
      <w:r>
        <w:rPr>
          <w:rFonts w:ascii="Times New Roman" w:hAnsi="Times New Roman"/>
          <w:sz w:val="20"/>
          <w:u w:val="single"/>
        </w:rPr>
        <w:t>Section 3.02</w:t>
      </w:r>
      <w:r>
        <w:rPr>
          <w:rFonts w:ascii="Times New Roman" w:hAnsi="Times New Roman"/>
          <w:sz w:val="20"/>
        </w:rPr>
        <w:t xml:space="preserve">, this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3.10</w:t>
      </w:r>
      <w:r>
        <w:rPr>
          <w:rFonts w:ascii="Times New Roman" w:hAnsi="Times New Roman"/>
          <w:sz w:val="20"/>
        </w:rPr>
        <w:t xml:space="preserve"> and </w:t>
      </w:r>
      <w:r>
        <w:rPr>
          <w:rFonts w:ascii="Times New Roman" w:hAnsi="Times New Roman"/>
          <w:sz w:val="20"/>
          <w:u w:val="single"/>
        </w:rPr>
        <w:t>Section 3.11</w:t>
      </w:r>
      <w:r>
        <w:rPr>
          <w:rFonts w:ascii="Times New Roman" w:hAnsi="Times New Roman"/>
          <w:sz w:val="20"/>
        </w:rPr>
        <w:t xml:space="preserve">. Subject to the foregoing, the Manager may cause the Company to issue additional Common Units authorized under this Agreement and/or establish other classes or series of Units or other Equity Securities in the Company at such times and upon such terms as the Manager shall determine and the Manager shall amend this Agreement as necessary in connection with the issuance of additional Common Units and admission of additional Members under this </w:t>
      </w:r>
      <w:r>
        <w:rPr>
          <w:rFonts w:ascii="Times New Roman" w:hAnsi="Times New Roman"/>
          <w:sz w:val="20"/>
          <w:u w:val="single"/>
        </w:rPr>
        <w:t>Section 3.04</w:t>
      </w:r>
      <w:r>
        <w:rPr>
          <w:rFonts w:ascii="Times New Roman" w:hAnsi="Times New Roman"/>
          <w:sz w:val="20"/>
        </w:rPr>
        <w:t xml:space="preserve"> without the requirement of any consent or acknowledgement of any other Member; </w:t>
      </w:r>
      <w:r>
        <w:rPr>
          <w:rFonts w:ascii="Times New Roman" w:hAnsi="Times New Roman"/>
          <w:i/>
          <w:sz w:val="20"/>
        </w:rPr>
        <w:t xml:space="preserve">provided further, </w:t>
      </w:r>
      <w:r>
        <w:rPr>
          <w:rFonts w:ascii="Times New Roman" w:hAnsi="Times New Roman"/>
          <w:sz w:val="20"/>
        </w:rPr>
        <w:t xml:space="preserve">that no Units or other Equity Securities shall be issued except in compliance with the Securities Act and all other applicable securities Laws, including the availability of an exemption from registration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Repurchase or Redemption of Shares of Class A Common Stock</w:t>
      </w:r>
      <w:r>
        <w:rPr>
          <w:rFonts w:ascii="Times New Roman" w:hAnsi="Times New Roman"/>
          <w:sz w:val="20"/>
        </w:rPr>
        <w:t xml:space="preserve">. If at any time, any shares of Class A Common Stock are repurchased or redeemed (whether by exercise of a put or call, automatically or by means of another arrangement) by the Corporation for cash, then the Manager shall cause the Company, immediately prior to such repurchase or redemption of Class A Common Stock, to redeem a corresponding number of Common Units held (directly or indirectly) by the Corporation, at an aggregate redemption price equal to the aggregate purchase or redemption price of the shares of Class A Common Stock being repurchased or redeemed by the Corporation (plus any expenses related thereto) and upon such other terms as are the same for the shares of Class A Common Stock being repurchased or redeemed by the Corporation. Notwithstanding any provision to the contrary contained in this Agreement, the Company shall not make any repurchase or redemption if such repurchase or redemption would violate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Certificates Representing Units; Lost, Stolen or Destroyed Certificates; Registration and Transfer of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Units shall not be certificated unless otherwise determined by the Manager. If the Manager determines that one or more Units shall be certificated, each such certificate shall be signed by or in the name of the Company, by any two (2) authorized officers of the Company, representing the number of Units held by such holder. Such certificate shall be in such form (and shall contain such legends) as the Manager may determine. Any or all of such signatures on any certificate representing one or more Units may be a facsimile, engraved or printed, to the extent permitted by applicable Law. No Units shall be treated as a “security” within the meaning of Article 8 of the Uniform Commercial Code unless all Units then outstanding are certificated; notwithstanding anything to the contrary herein, including </w:t>
      </w:r>
      <w:r>
        <w:rPr>
          <w:rFonts w:ascii="Times New Roman" w:hAnsi="Times New Roman"/>
          <w:sz w:val="20"/>
          <w:u w:val="single"/>
        </w:rPr>
        <w:t>Section 15.03</w:t>
      </w:r>
      <w:r>
        <w:rPr>
          <w:rFonts w:ascii="Times New Roman" w:hAnsi="Times New Roman"/>
          <w:sz w:val="20"/>
        </w:rPr>
        <w:t xml:space="preserve">, the Manager is authorized to amend this Agreement in order for the Company to opt-in to the provisions of Article 8 of the Uniform Commercial Code without the consent or approval of any Member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(b) If Units are certificated, the Manager may direct that a new certificate representing one or more Units be issued in place of any certificate theretofore issued by the Company alleged to have been lost, stolen or destroyed, upon delivery to the Manager of an affidavit of the owner or owners of such certificate, setting forth such allegation. The Manager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Units are certificated, 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Manager may prescribe such additional rules and regulations as it may deem appropriate relating to the issue, Transfer and registration of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Negative Capital Accounts</w:t>
      </w:r>
      <w:r>
        <w:rPr>
          <w:rFonts w:ascii="Times New Roman" w:hAnsi="Times New Roman"/>
          <w:sz w:val="20"/>
        </w:rPr>
        <w:t xml:space="preserve">. No Member shall be required to pay to any other Member or the Company any deficit or negative balance which may exist from time to time in such Member’s Capital Account (including upon and after dissolution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No Withdrawal</w:t>
      </w:r>
      <w:r>
        <w:rPr>
          <w:rFonts w:ascii="Times New Roman" w:hAnsi="Times New Roman"/>
          <w:sz w:val="20"/>
        </w:rPr>
        <w:t xml:space="preserve">. No Person shall be entitled to withdraw any part of such Person’s Capital Contribution or Capital Account or to receive any Distribution from the Company, except as expressly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Loans From Members</w:t>
      </w:r>
      <w:r>
        <w:rPr>
          <w:rFonts w:ascii="Times New Roman" w:hAnsi="Times New Roman"/>
          <w:sz w:val="20"/>
        </w:rPr>
        <w:t xml:space="preserve">. Loans by Members to the Company shall not be considered Capital Contributions. Subject to the provisions of </w:t>
      </w:r>
      <w:r>
        <w:rPr>
          <w:rFonts w:ascii="Times New Roman" w:hAnsi="Times New Roman"/>
          <w:sz w:val="20"/>
          <w:u w:val="single"/>
        </w:rPr>
        <w:t>Section 3.01(c)</w:t>
      </w:r>
      <w:r>
        <w:rPr>
          <w:rFonts w:ascii="Times New Roman" w:hAnsi="Times New Roman"/>
          <w:sz w:val="20"/>
        </w:rPr>
        <w:t xml:space="preserve">, the amount of any such advances shall be a debt of the Company to such Member and shall be payable or collectible in accordance with the terms and conditions upon which such advances are made.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Corporate Equity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Options Granted to Persons other than LLC Employees. </w:t>
      </w:r>
      <w:r>
        <w:rPr>
          <w:rFonts w:ascii="Times New Roman" w:hAnsi="Times New Roman"/>
          <w:sz w:val="20"/>
        </w:rPr>
        <w:t xml:space="preserve">If at any time or from time to time, in connection with any Equity Plan, a stock option granted over shares of Class A Common Stock to a Person other than an LLC Employee is duly exercised: </w:t>
      </w:r>
    </w:p>
    <w:p>
      <w:pPr>
        <w:pStyle w:val="TextBody"/>
        <w:bidi w:val="0"/>
        <w:spacing w:before="120" w:after="0"/>
        <w:jc w:val="left"/>
        <w:rPr>
          <w:rFonts w:ascii="Times New Roman" w:hAnsi="Times New Roman"/>
          <w:sz w:val="20"/>
        </w:rPr>
      </w:pPr>
      <w:r>
        <w:rPr>
          <w:rFonts w:ascii="Times New Roman" w:hAnsi="Times New Roman"/>
          <w:sz w:val="20"/>
        </w:rPr>
        <w:t xml:space="preserve">(i) The Corporation shall, as soon as practicable after such exercise, contribute to the Company (directly or indirectly through a Capital Contribution by one or more of its Subsidiaries) an amount equal to the exercise price paid to the Corporation by such exercising Person in connection with the exercise of such stock option.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the amount of the Capital Contribution actually made pursuant to </w:t>
      </w:r>
      <w:r>
        <w:rPr>
          <w:rFonts w:ascii="Times New Roman" w:hAnsi="Times New Roman"/>
          <w:sz w:val="20"/>
          <w:u w:val="single"/>
        </w:rPr>
        <w:t>Section 3.10(a)(i)</w:t>
      </w:r>
      <w:r>
        <w:rPr>
          <w:rFonts w:ascii="Times New Roman" w:hAnsi="Times New Roman"/>
          <w:sz w:val="20"/>
        </w:rPr>
        <w:t xml:space="preserve">, the Corporation (or one or more of its Subsidiaries, as applicable) shall be deemed to have contributed to the Company as a Capital Contribution, in lieu of the Capital Contribution actually made and in consideration of additional Common Units, an amount equal to the Value of a share of Class A Common Stock as of the date of such exercise multiplied by the number of shares of Class A Common Stock then being issued by the Corporation in connection with the exercise of such stock option. </w:t>
      </w:r>
    </w:p>
    <w:p>
      <w:pPr>
        <w:pStyle w:val="TextBody"/>
        <w:bidi w:val="0"/>
        <w:spacing w:before="120" w:after="0"/>
        <w:jc w:val="left"/>
        <w:rPr>
          <w:rFonts w:ascii="Times New Roman" w:hAnsi="Times New Roman"/>
          <w:sz w:val="20"/>
        </w:rPr>
      </w:pPr>
      <w:r>
        <w:rPr>
          <w:rFonts w:ascii="Times New Roman" w:hAnsi="Times New Roman"/>
          <w:sz w:val="20"/>
        </w:rPr>
        <w:t xml:space="preserve">(iii) The Corporation (or one or more of its Subsidiaries, as applicable) shall receive in exchange for such Capital Contributions (as deemed made under </w:t>
      </w:r>
      <w:r>
        <w:rPr>
          <w:rFonts w:ascii="Times New Roman" w:hAnsi="Times New Roman"/>
          <w:sz w:val="20"/>
          <w:u w:val="single"/>
        </w:rPr>
        <w:t>Section 3.10(a)(ii)</w:t>
      </w:r>
      <w:r>
        <w:rPr>
          <w:rFonts w:ascii="Times New Roman" w:hAnsi="Times New Roman"/>
          <w:sz w:val="20"/>
        </w:rPr>
        <w:t xml:space="preserve">), a number of Common Units equal to the number of shares of Class A Common Stock for which such option was exercised.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Options Granted to LLC Employees. </w:t>
      </w:r>
      <w:r>
        <w:rPr>
          <w:rFonts w:ascii="Times New Roman" w:hAnsi="Times New Roman"/>
          <w:sz w:val="20"/>
        </w:rPr>
        <w:t xml:space="preserve">If at any time or from time to time, in connection with any Equity Plan, a stock option granted over shares of Class A Common Stock to an LLC Employee is duly exercised: </w:t>
      </w:r>
    </w:p>
    <w:p>
      <w:pPr>
        <w:pStyle w:val="TextBody"/>
        <w:bidi w:val="0"/>
        <w:spacing w:before="120" w:after="0"/>
        <w:jc w:val="left"/>
        <w:rPr>
          <w:rFonts w:ascii="Times New Roman" w:hAnsi="Times New Roman"/>
          <w:sz w:val="20"/>
        </w:rPr>
      </w:pPr>
      <w:r>
        <w:rPr>
          <w:rFonts w:ascii="Times New Roman" w:hAnsi="Times New Roman"/>
          <w:sz w:val="20"/>
        </w:rPr>
        <w:t xml:space="preserve">(i) The Corporation shall sell to the Optionee, and the Optionee shall purchase from the Corporation, the number of shares of Class A Common Stock equal to the quotient of (x) the exercise price payable by the Optionee in connection with the exercise of such stock option divided by (y) the Value of a share of Class A Common Stock at the time of such exercise. Notwithstanding the foregoing, the Corporation may in its discretion permit a cashless exercise of such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Corporation shall sell to the Company (or if the Optionee is an employee of, or other service provider to, a Subsidiary, the Corporation shall sell to such Subsidiary), and the Company (or such Subsidiary, as applicable) shall purchase from the Corporation, a number of shares of Class A Common Stock equal to the difference between (x) the number of shares of Class A Common Stock as to which such stock option is being exercised minus (y) the number of shares of Class A Common Stock sold pursuant to </w:t>
      </w:r>
      <w:r>
        <w:rPr>
          <w:rFonts w:ascii="Times New Roman" w:hAnsi="Times New Roman"/>
          <w:sz w:val="20"/>
          <w:u w:val="single"/>
        </w:rPr>
        <w:t>Section 3.10(b)(i)</w:t>
      </w:r>
      <w:r>
        <w:rPr>
          <w:rFonts w:ascii="Times New Roman" w:hAnsi="Times New Roman"/>
          <w:sz w:val="20"/>
        </w:rPr>
        <w:t xml:space="preserve"> hereof. The purchase price for such shares of Class A Common Stock to the Company (or such Subsidiary) shall be the Value of such shares of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shall transfer to the Optionee (or if the Optionee is an employee of, or other service provider to a Subsidiary, the Subsidiary shall transfer to the Optionee) at no additional cost to such LLC Employee and as additional compensation (and not a distribution) to such LLC Employee, the number of shares of Class A Common Stock described in </w:t>
      </w:r>
      <w:r>
        <w:rPr>
          <w:rFonts w:ascii="Times New Roman" w:hAnsi="Times New Roman"/>
          <w:sz w:val="20"/>
          <w:u w:val="single"/>
        </w:rPr>
        <w:t>Section 3.10(b)(ii)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Corporation shall, as soon as practicable after such exercise, contribute to the Company (directly or indirectly through a Capital Contribution by one or more of its Subsidiaries) an amount equal to the exercise price received by the Corporation in connection with such exercise under </w:t>
      </w:r>
      <w:r>
        <w:rPr>
          <w:rFonts w:ascii="Times New Roman" w:hAnsi="Times New Roman"/>
          <w:sz w:val="20"/>
          <w:u w:val="single"/>
        </w:rPr>
        <w:t>Section 3.10(b)(i)</w:t>
      </w:r>
      <w:r>
        <w:rPr>
          <w:rFonts w:ascii="Times New Roman" w:hAnsi="Times New Roman"/>
          <w:sz w:val="20"/>
        </w:rPr>
        <w:t xml:space="preserve"> and the amount of cash received by the Corporation in connection with the sale under </w:t>
      </w:r>
      <w:r>
        <w:rPr>
          <w:rFonts w:ascii="Times New Roman" w:hAnsi="Times New Roman"/>
          <w:sz w:val="20"/>
          <w:u w:val="single"/>
        </w:rPr>
        <w:t>Section 3.10(b)(ii)</w:t>
      </w:r>
      <w:r>
        <w:rPr>
          <w:rFonts w:ascii="Times New Roman" w:hAnsi="Times New Roman"/>
          <w:sz w:val="20"/>
        </w:rPr>
        <w:t xml:space="preserve">, excluding, for the avoidance of doubt, any payment in respect of payroll taxes or other tax withholdings. The Corporation (or one or more of its Subsidiaries, as applicable) shall receive for such Capital Contribution, a number of Common Units equal to the number of shares of Class A Common Stock for which such option was exercised.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Class A Common Stock sold to the Company under </w:t>
      </w:r>
      <w:r>
        <w:rPr>
          <w:rFonts w:ascii="Times New Roman" w:hAnsi="Times New Roman"/>
          <w:sz w:val="20"/>
          <w:u w:val="single"/>
        </w:rPr>
        <w:t>Section 3.10(b)(ii)</w:t>
      </w:r>
      <w:r>
        <w:rPr>
          <w:rFonts w:ascii="Times New Roman" w:hAnsi="Times New Roman"/>
          <w:sz w:val="20"/>
        </w:rPr>
        <w:t xml:space="preserve">, the number of shares of Class A Common Stock transferred to the Optionee under </w:t>
      </w:r>
      <w:r>
        <w:rPr>
          <w:rFonts w:ascii="Times New Roman" w:hAnsi="Times New Roman"/>
          <w:sz w:val="20"/>
          <w:u w:val="single"/>
        </w:rPr>
        <w:t>Section 3.10(b)(iii)</w:t>
      </w:r>
      <w:r>
        <w:rPr>
          <w:rFonts w:ascii="Times New Roman" w:hAnsi="Times New Roman"/>
          <w:sz w:val="20"/>
        </w:rPr>
        <w:t xml:space="preserve">, and the number of Common Units received by the Corporation under </w:t>
      </w:r>
      <w:r>
        <w:rPr>
          <w:rFonts w:ascii="Times New Roman" w:hAnsi="Times New Roman"/>
          <w:sz w:val="20"/>
          <w:u w:val="single"/>
        </w:rPr>
        <w:t>Section 3.10(b)(iv)</w:t>
      </w:r>
      <w:r>
        <w:rPr>
          <w:rFonts w:ascii="Times New Roman" w:hAnsi="Times New Roman"/>
          <w:sz w:val="20"/>
        </w:rPr>
        <w:t xml:space="preserve"> shall be reduced so as to account for any payroll, withholding, or other taxes in the event that the LLC Employee net settles the stock option in connection with the applicable exercise.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Stock Issued to LLC Employees. </w:t>
      </w:r>
      <w:r>
        <w:rPr>
          <w:rFonts w:ascii="Times New Roman" w:hAnsi="Times New Roman"/>
          <w:sz w:val="20"/>
        </w:rPr>
        <w:t xml:space="preserve">If at any time or from time to time, in connection with any Equity Plan, any shares of Class A Common Stock (other than in connection with a stock option) are issued to an LLC Employee (including any shares of Class A Common Stock that are subject to forfeiture in the event such LLC Employee terminates his or her employment with the Company or any Subsidiary or any shares of Class A Common Stock issued in connection with the settlement of restricted stock units or performance stock units) in consideration for services performed for the Company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Corporation shall issue such number of shares of Class A Common Stock as are to be issued to such LLC Employee in accordance with the Equity Plan; </w:t>
      </w:r>
    </w:p>
    <w:p>
      <w:pPr>
        <w:pStyle w:val="TextBody"/>
        <w:bidi w:val="0"/>
        <w:spacing w:before="120" w:after="0"/>
        <w:jc w:val="left"/>
        <w:rPr>
          <w:rFonts w:ascii="Times New Roman" w:hAnsi="Times New Roman"/>
          <w:sz w:val="20"/>
        </w:rPr>
      </w:pPr>
      <w:r>
        <w:rPr>
          <w:rFonts w:ascii="Times New Roman" w:hAnsi="Times New Roman"/>
          <w:sz w:val="20"/>
        </w:rPr>
        <w:t>(ii) On the date that the Value of such shares is includible in taxable income of such LLC Employee (such date, the “</w:t>
      </w:r>
      <w:r>
        <w:rPr>
          <w:rFonts w:ascii="Times New Roman" w:hAnsi="Times New Roman"/>
          <w:b/>
          <w:i/>
          <w:sz w:val="20"/>
        </w:rPr>
        <w:t>Vesting Date</w:t>
      </w:r>
      <w:r>
        <w:rPr>
          <w:rFonts w:ascii="Times New Roman" w:hAnsi="Times New Roman"/>
          <w:sz w:val="20"/>
        </w:rPr>
        <w:t xml:space="preserve">”), the following events will be deemed to have occurred: (1) the Corporation shall be deemed to have sold such shares of Class A Common Stock to the Company (or if such LLC Employee is an employee of, or other service provider to a Subsidiary, to such Subsidiary) for a purchase price equal to the Value of such shares of Class A Common Stock, (2) the Company (or such Subsidiary) shall be deemed to have delivered such shares of Class A Common Stock to such LLC Employee, (3) the Corporation (directly or indirectly through a Capital Contribution by one or more of its Subsidiaries) shall be deemed to have contributed the purchase price for such shares of Class A Common Stock to the Company as a Capital Contribution, and (4) in the case where such LLC Employee is an employee of a Subsidiary, the Company shall be deemed to have contributed such amount to the capital of the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shall issue to the Corporation (or one or more of its Subsidiaries, as applicable) on the Vesting Date a number of Common Units equal to the number of shares of Class A Common Stock issued under </w:t>
      </w:r>
      <w:r>
        <w:rPr>
          <w:rFonts w:ascii="Times New Roman" w:hAnsi="Times New Roman"/>
          <w:sz w:val="20"/>
          <w:u w:val="single"/>
        </w:rPr>
        <w:t>Section 3.10(c)(i)</w:t>
      </w:r>
      <w:r>
        <w:rPr>
          <w:rFonts w:ascii="Times New Roman" w:hAnsi="Times New Roman"/>
          <w:sz w:val="20"/>
        </w:rPr>
        <w:t xml:space="preserve"> in consideration for a Capital Contribution that the Corporation (or one or more of its Subsidiaries, as applicable) is deemed to make to the Company pursuant to clause (3) of </w:t>
      </w:r>
      <w:r>
        <w:rPr>
          <w:rFonts w:ascii="Times New Roman" w:hAnsi="Times New Roman"/>
          <w:sz w:val="20"/>
          <w:u w:val="single"/>
        </w:rPr>
        <w:t>Section 3.10(c)(ii)</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Class A Common Stock issued to the LLC Employee under </w:t>
      </w:r>
      <w:r>
        <w:rPr>
          <w:rFonts w:ascii="Times New Roman" w:hAnsi="Times New Roman"/>
          <w:sz w:val="20"/>
          <w:u w:val="single"/>
        </w:rPr>
        <w:t>Section 3.10(c)(i)</w:t>
      </w:r>
      <w:r>
        <w:rPr>
          <w:rFonts w:ascii="Times New Roman" w:hAnsi="Times New Roman"/>
          <w:sz w:val="20"/>
        </w:rPr>
        <w:t xml:space="preserve">, the number of shares of Class A Common Stock sold to the Company or a Subsidiary under </w:t>
      </w:r>
      <w:r>
        <w:rPr>
          <w:rFonts w:ascii="Times New Roman" w:hAnsi="Times New Roman"/>
          <w:sz w:val="20"/>
          <w:u w:val="single"/>
        </w:rPr>
        <w:t>Section 3.10(c)(ii)(1)</w:t>
      </w:r>
      <w:r>
        <w:rPr>
          <w:rFonts w:ascii="Times New Roman" w:hAnsi="Times New Roman"/>
          <w:sz w:val="20"/>
        </w:rPr>
        <w:t xml:space="preserve">, the number of shares of Class A Common Stock delivered to the LLC Employee under </w:t>
      </w:r>
      <w:r>
        <w:rPr>
          <w:rFonts w:ascii="Times New Roman" w:hAnsi="Times New Roman"/>
          <w:sz w:val="20"/>
          <w:u w:val="single"/>
        </w:rPr>
        <w:t>Section 3.10(c)(ii)(2)</w:t>
      </w:r>
      <w:r>
        <w:rPr>
          <w:rFonts w:ascii="Times New Roman" w:hAnsi="Times New Roman"/>
          <w:sz w:val="20"/>
        </w:rPr>
        <w:t xml:space="preserve">, and the number of Common Units received by the Corporation under </w:t>
      </w:r>
      <w:r>
        <w:rPr>
          <w:rFonts w:ascii="Times New Roman" w:hAnsi="Times New Roman"/>
          <w:sz w:val="20"/>
          <w:u w:val="single"/>
        </w:rPr>
        <w:t>Section 3.10(c)(iii)</w:t>
      </w:r>
      <w:r>
        <w:rPr>
          <w:rFonts w:ascii="Times New Roman" w:hAnsi="Times New Roman"/>
          <w:sz w:val="20"/>
        </w:rPr>
        <w:t xml:space="preserve"> shall be reduced so as to account for any payroll, withholding, or other taxes that an LLC Employee elects to net settle in connection with the Vesting Date.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Future Equity Incentive Plans. </w:t>
      </w:r>
      <w:r>
        <w:rPr>
          <w:rFonts w:ascii="Times New Roman" w:hAnsi="Times New Roman"/>
          <w:sz w:val="20"/>
        </w:rPr>
        <w:t xml:space="preserve">Nothing in this Agreement shall be construed or applied to preclude or restrain the Corporation from adopting, modifying or terminating equity incentive plans for the benefit of employees, directors or other service providers of the Corporation, the Company or any of their respective Affiliates. The Members acknowledge and agree that, in the event that any such plan is adopted, modified or terminated by the Corporation, amendments to this </w:t>
      </w:r>
      <w:r>
        <w:rPr>
          <w:rFonts w:ascii="Times New Roman" w:hAnsi="Times New Roman"/>
          <w:sz w:val="20"/>
          <w:u w:val="single"/>
        </w:rPr>
        <w:t>Section 3.10</w:t>
      </w:r>
      <w:r>
        <w:rPr>
          <w:rFonts w:ascii="Times New Roman" w:hAnsi="Times New Roman"/>
          <w:sz w:val="20"/>
        </w:rPr>
        <w:t xml:space="preserve"> in order to preserve the economic intent of this </w:t>
      </w:r>
      <w:r>
        <w:rPr>
          <w:rFonts w:ascii="Times New Roman" w:hAnsi="Times New Roman"/>
          <w:sz w:val="20"/>
          <w:u w:val="single"/>
        </w:rPr>
        <w:t>Section 3.10</w:t>
      </w:r>
      <w:r>
        <w:rPr>
          <w:rFonts w:ascii="Times New Roman" w:hAnsi="Times New Roman"/>
          <w:sz w:val="20"/>
        </w:rPr>
        <w:t xml:space="preserve"> may become necessary or advisable and that any approval or consent to any such amendments reasonably requested by the Corporation shall be deemed granted by the Manager and the Members, as applicable, without the requirement of any further consent or acknowledgement of any other Member. If any employee share purchase plan or similar plan is adopted by the Corporation, </w:t>
      </w:r>
      <w:r>
        <w:rPr>
          <w:rFonts w:ascii="Times New Roman" w:hAnsi="Times New Roman"/>
          <w:sz w:val="20"/>
          <w:u w:val="single"/>
        </w:rPr>
        <w:t>Section 3.10(b)</w:t>
      </w:r>
      <w:r>
        <w:rPr>
          <w:rFonts w:ascii="Times New Roman" w:hAnsi="Times New Roman"/>
          <w:sz w:val="20"/>
        </w:rPr>
        <w:t xml:space="preserve"> shall be applied to any share purchases thereunder </w:t>
      </w:r>
      <w:r>
        <w:rPr>
          <w:rFonts w:ascii="Times New Roman" w:hAnsi="Times New Roman"/>
          <w:i/>
          <w:sz w:val="20"/>
        </w:rPr>
        <w:t>mutatis mutandis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Anti-dilution Adjustments. </w:t>
      </w:r>
      <w:r>
        <w:rPr>
          <w:rFonts w:ascii="Times New Roman" w:hAnsi="Times New Roman"/>
          <w:sz w:val="20"/>
        </w:rPr>
        <w:t xml:space="preserve">For all purposes of this </w:t>
      </w:r>
      <w:r>
        <w:rPr>
          <w:rFonts w:ascii="Times New Roman" w:hAnsi="Times New Roman"/>
          <w:sz w:val="20"/>
          <w:u w:val="single"/>
        </w:rPr>
        <w:t>Section 3.10</w:t>
      </w:r>
      <w:r>
        <w:rPr>
          <w:rFonts w:ascii="Times New Roman" w:hAnsi="Times New Roman"/>
          <w:sz w:val="20"/>
        </w:rPr>
        <w:t xml:space="preserve">, the number of shares of Class A Common Stock and the corresponding number of Common Units shall be determined after giving effect to all anti-dilution or similar adjustments that are applicable, as of the date of exercise or vesting, to the option, warrant, restricted stock or other equity interest that is being exercised or becomes vested under the applicable Equity Plan and applicable award or grant documentation.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Dividend Reinvestment Plan, Employee Stock Purchase Plan, Equity Incentive Plan or Other Plan</w:t>
      </w:r>
      <w:r>
        <w:rPr>
          <w:rFonts w:ascii="Times New Roman" w:hAnsi="Times New Roman"/>
          <w:sz w:val="20"/>
        </w:rPr>
        <w:t xml:space="preserve">. Except as may otherwise be provided in this </w:t>
      </w:r>
      <w:r>
        <w:rPr>
          <w:rFonts w:ascii="Times New Roman" w:hAnsi="Times New Roman"/>
          <w:sz w:val="20"/>
          <w:u w:val="single"/>
        </w:rPr>
        <w:t>Article III</w:t>
      </w:r>
      <w:r>
        <w:rPr>
          <w:rFonts w:ascii="Times New Roman" w:hAnsi="Times New Roman"/>
          <w:sz w:val="20"/>
        </w:rPr>
        <w:t xml:space="preserve">, all amounts received or deemed received by the Corporation in respect of any dividend reinvestment plan, cash option purchase plan, employee stock purchase plan, stock incentive or other stock or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(directly or indirectly through one or more of its Subsidiaries) to the Company in exchange for additional Common Units. Upon such contribution, the Company will issue to the Corporation (or one or more of its Subsidiaries, as applicable) a number of Common Units equal to the number of new shares of Class A Common Stock so issued. In connection with any transaction described in this </w:t>
      </w:r>
      <w:r>
        <w:rPr>
          <w:rFonts w:ascii="Times New Roman" w:hAnsi="Times New Roman"/>
          <w:sz w:val="20"/>
          <w:u w:val="single"/>
        </w:rPr>
        <w:t>Section 3.11</w:t>
      </w:r>
      <w:r>
        <w:rPr>
          <w:rFonts w:ascii="Times New Roman" w:hAnsi="Times New Roman"/>
          <w:sz w:val="20"/>
        </w:rPr>
        <w:t xml:space="preserve">, the Manager shall be permitted to cause the Company to make such issuances or redemptions of Common Units, or make such adjustments to the capitalization of the Company, as necessary to preserve the one-to-one ratios described in </w:t>
      </w:r>
      <w:r>
        <w:rPr>
          <w:rFonts w:ascii="Times New Roman" w:hAnsi="Times New Roman"/>
          <w:sz w:val="20"/>
          <w:u w:val="single"/>
        </w:rPr>
        <w:t>Section 3.04(a)</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DISTRIBUTIONS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Distributable Cash; Other Distributions. </w:t>
      </w:r>
      <w:r>
        <w:rPr>
          <w:rFonts w:ascii="Times New Roman" w:hAnsi="Times New Roman"/>
          <w:sz w:val="20"/>
        </w:rPr>
        <w:t xml:space="preserve">To the extent permitted by applicable Law and hereunder and subject to </w:t>
      </w:r>
      <w:r>
        <w:rPr>
          <w:rFonts w:ascii="Times New Roman" w:hAnsi="Times New Roman"/>
          <w:sz w:val="20"/>
          <w:u w:val="single"/>
        </w:rPr>
        <w:t>Section 4.01(c)</w:t>
      </w:r>
      <w:r>
        <w:rPr>
          <w:rFonts w:ascii="Times New Roman" w:hAnsi="Times New Roman"/>
          <w:sz w:val="20"/>
        </w:rPr>
        <w:t xml:space="preserve">, the Manager may cause the Company to declare Distributions to Members out of Distributable Cash or other funds or property legally available therefor in such amounts, at such time and on such terms (including the payment dates of such Distributions) as the Manager in its sole discretion shall determine using such record date as the Manager may designate. All Distributions made under this </w:t>
      </w:r>
      <w:r>
        <w:rPr>
          <w:rFonts w:ascii="Times New Roman" w:hAnsi="Times New Roman"/>
          <w:sz w:val="20"/>
          <w:u w:val="single"/>
        </w:rPr>
        <w:t>Section 4.01</w:t>
      </w:r>
      <w:r>
        <w:rPr>
          <w:rFonts w:ascii="Times New Roman" w:hAnsi="Times New Roman"/>
          <w:sz w:val="20"/>
        </w:rPr>
        <w:t xml:space="preserve"> shall be made to the Members as of the close of business on such record date on a </w:t>
      </w:r>
      <w:r>
        <w:rPr>
          <w:rFonts w:ascii="Times New Roman" w:hAnsi="Times New Roman"/>
          <w:i/>
          <w:sz w:val="20"/>
        </w:rPr>
        <w:t xml:space="preserve">pro rata </w:t>
      </w:r>
      <w:r>
        <w:rPr>
          <w:rFonts w:ascii="Times New Roman" w:hAnsi="Times New Roman"/>
          <w:sz w:val="20"/>
        </w:rPr>
        <w:t xml:space="preserve">basis in accordance with each Member’s Percentage Interest as of the close of business on such record date; </w:t>
      </w:r>
      <w:r>
        <w:rPr>
          <w:rFonts w:ascii="Times New Roman" w:hAnsi="Times New Roman"/>
          <w:i/>
          <w:sz w:val="20"/>
        </w:rPr>
        <w:t xml:space="preserve">provided, however, </w:t>
      </w:r>
      <w:r>
        <w:rPr>
          <w:rFonts w:ascii="Times New Roman" w:hAnsi="Times New Roman"/>
          <w:sz w:val="20"/>
        </w:rPr>
        <w:t xml:space="preserve">that the Manager shall have the obligation to cause the Company to make Distributions as set forth in </w:t>
      </w:r>
      <w:r>
        <w:rPr>
          <w:rFonts w:ascii="Times New Roman" w:hAnsi="Times New Roman"/>
          <w:sz w:val="20"/>
          <w:u w:val="single"/>
        </w:rPr>
        <w:t>Sections 4.01(b)</w:t>
      </w:r>
      <w:r>
        <w:rPr>
          <w:rFonts w:ascii="Times New Roman" w:hAnsi="Times New Roman"/>
          <w:sz w:val="20"/>
        </w:rPr>
        <w:t xml:space="preserve"> and </w:t>
      </w:r>
      <w:r>
        <w:rPr>
          <w:rFonts w:ascii="Times New Roman" w:hAnsi="Times New Roman"/>
          <w:sz w:val="20"/>
          <w:u w:val="single"/>
        </w:rPr>
        <w:t>14.02</w:t>
      </w:r>
      <w:r>
        <w:rPr>
          <w:rFonts w:ascii="Times New Roman" w:hAnsi="Times New Roman"/>
          <w:sz w:val="20"/>
        </w:rPr>
        <w:t xml:space="preserve">; </w:t>
      </w:r>
      <w:r>
        <w:rPr>
          <w:rFonts w:ascii="Times New Roman" w:hAnsi="Times New Roman"/>
          <w:i/>
          <w:sz w:val="20"/>
        </w:rPr>
        <w:t xml:space="preserve">provided, further, </w:t>
      </w:r>
      <w:r>
        <w:rPr>
          <w:rFonts w:ascii="Times New Roman" w:hAnsi="Times New Roman"/>
          <w:sz w:val="20"/>
        </w:rPr>
        <w:t xml:space="preserve">that notwithstanding any other provision herein to the contrary, no Distributions shall be made to any Member to the extent such Distribution would violate the Delaware Act. In furtherance of the foregoing, it is intended that the Manager shall, to the extent permitted by applicable Law, have the right in its sole discretion to cause the Company to make Distributions of Distributable Cash to the Members pursuant to this </w:t>
      </w:r>
      <w:r>
        <w:rPr>
          <w:rFonts w:ascii="Times New Roman" w:hAnsi="Times New Roman"/>
          <w:sz w:val="20"/>
          <w:u w:val="single"/>
        </w:rPr>
        <w:t>Section 4.01(a)</w:t>
      </w:r>
      <w:r>
        <w:rPr>
          <w:rFonts w:ascii="Times New Roman" w:hAnsi="Times New Roman"/>
          <w:sz w:val="20"/>
        </w:rPr>
        <w:t xml:space="preserve"> on a </w:t>
      </w:r>
      <w:r>
        <w:rPr>
          <w:rFonts w:ascii="Times New Roman" w:hAnsi="Times New Roman"/>
          <w:i/>
          <w:sz w:val="20"/>
        </w:rPr>
        <w:t xml:space="preserve">pro rata </w:t>
      </w:r>
      <w:r>
        <w:rPr>
          <w:rFonts w:ascii="Times New Roman" w:hAnsi="Times New Roman"/>
          <w:sz w:val="20"/>
        </w:rPr>
        <w:t xml:space="preserve">basis in accordance with each Member’s Percentage Interest in such amounts as shall enable the Corporation to meet its obligations, including its obligations pursuant to the Tax Receivable Agreement (to the extent such obligations are not otherwise able to be satisfied as a result of Tax Distributions required to be made pursuant to Section 4.01(b)). Notwithstanding anything to the contrary in this </w:t>
      </w:r>
      <w:r>
        <w:rPr>
          <w:rFonts w:ascii="Times New Roman" w:hAnsi="Times New Roman"/>
          <w:sz w:val="20"/>
          <w:u w:val="single"/>
        </w:rPr>
        <w:t>Section 4.01(a)</w:t>
      </w:r>
      <w:r>
        <w:rPr>
          <w:rFonts w:ascii="Times New Roman" w:hAnsi="Times New Roman"/>
          <w:sz w:val="20"/>
        </w:rPr>
        <w:t xml:space="preserve"> and </w:t>
      </w:r>
      <w:r>
        <w:rPr>
          <w:rFonts w:ascii="Times New Roman" w:hAnsi="Times New Roman"/>
          <w:sz w:val="20"/>
          <w:u w:val="single"/>
        </w:rPr>
        <w:t>Section 4.01(b)</w:t>
      </w:r>
      <w:r>
        <w:rPr>
          <w:rFonts w:ascii="Times New Roman" w:hAnsi="Times New Roman"/>
          <w:sz w:val="20"/>
        </w:rPr>
        <w:t xml:space="preserve">, (i) the Company shall not make a distribution (other than Tax Distributions under </w:t>
      </w:r>
      <w:r>
        <w:rPr>
          <w:rFonts w:ascii="Times New Roman" w:hAnsi="Times New Roman"/>
          <w:sz w:val="20"/>
          <w:u w:val="single"/>
        </w:rPr>
        <w:t>Section 4.01(b)</w:t>
      </w:r>
      <w:r>
        <w:rPr>
          <w:rFonts w:ascii="Times New Roman" w:hAnsi="Times New Roman"/>
          <w:sz w:val="20"/>
        </w:rPr>
        <w:t xml:space="preserve"> but only to the extent of a Member’s Assumed Tax Liability) to any Member in respect of any Unvested Units and (ii)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any amounts that would otherwise have been distributed to a Member but for the preceding clause (i), such amount shall be held in trust by the Company for the benefit of such Member unless and until such time as such Unvested Units become Vested Units, and within five (5) Business Days of such vesting time, the Company shall distribute such amounts to such Member; provided, however, if any Unvested Units are forfeited pursuant to the terms of the Equity Plan or Restricted Unit Award Agreement, such Member holding such Unvested Units shall have no right to receive any Distributions.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Tax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each Taxable Year (or portion thereof), to the extent the Company has available cash for distribution by the Company under the Delaware Act and subject to any applicable agreement to which the Company or any of its Subsidiaries is a party governing the terms of third party indebtedness for borrowed money, and subject to the retention and establishment of reserves, or payment to third parties, of such funds as the Manager reasonably determines is necessary or desirable with respect to the reasonable needs and obligations of the Company or any of its Subsidiaries, the Company shall, to the extent permitted by applicable Law, make cash distributions </w:t>
      </w:r>
      <w:r>
        <w:rPr>
          <w:rFonts w:ascii="Times New Roman" w:hAnsi="Times New Roman"/>
          <w:i/>
          <w:sz w:val="20"/>
        </w:rPr>
        <w:t>(</w:t>
      </w:r>
      <w:r>
        <w:rPr>
          <w:rFonts w:ascii="Times New Roman" w:hAnsi="Times New Roman"/>
          <w:sz w:val="20"/>
        </w:rPr>
        <w:t>“</w:t>
      </w:r>
      <w:r>
        <w:rPr>
          <w:rFonts w:ascii="Times New Roman" w:hAnsi="Times New Roman"/>
          <w:b/>
          <w:i/>
          <w:sz w:val="20"/>
        </w:rPr>
        <w:t>Tax Distributions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to each Member in accordance with, and to the extent of, such Member’s Assumed Tax Liability. Tax Distributions pursuant to this </w:t>
      </w:r>
      <w:r>
        <w:rPr>
          <w:rFonts w:ascii="Times New Roman" w:hAnsi="Times New Roman"/>
          <w:sz w:val="20"/>
          <w:u w:val="single"/>
        </w:rPr>
        <w:t>Section 4.01(b)(i)</w:t>
      </w:r>
      <w:r>
        <w:rPr>
          <w:rFonts w:ascii="Times New Roman" w:hAnsi="Times New Roman"/>
          <w:sz w:val="20"/>
        </w:rPr>
        <w:t xml:space="preserve"> shall be estimated by the Company on a quarterly basis and, to the extent feasible, shall be distributed to the Members (together with a statement showing the calculation of such Tax Distribution and an estimate of the Company’s net taxable income allocable to each Member for such period) on a quarterly basis on (or prior to) April 15th, June 15th, September 15th and January 15th (of the succeeding year) (or such other dates for which individuals are required to make quarterly estimated tax payments for U.S. federal income tax purposes) (each, a “</w:t>
      </w:r>
      <w:r>
        <w:rPr>
          <w:rFonts w:ascii="Times New Roman" w:hAnsi="Times New Roman"/>
          <w:b/>
          <w:i/>
          <w:sz w:val="20"/>
        </w:rPr>
        <w:t>Quarterly Tax Distribution</w:t>
      </w:r>
      <w:r>
        <w:rPr>
          <w:rFonts w:ascii="Times New Roman" w:hAnsi="Times New Roman"/>
          <w:sz w:val="20"/>
        </w:rPr>
        <w:t>”</w:t>
      </w:r>
      <w:r>
        <w:rPr>
          <w:rFonts w:ascii="Times New Roman" w:hAnsi="Times New Roman"/>
          <w:i/>
          <w:sz w:val="20"/>
        </w:rPr>
        <w:t xml:space="preserve">), provided, </w:t>
      </w:r>
      <w:r>
        <w:rPr>
          <w:rFonts w:ascii="Times New Roman" w:hAnsi="Times New Roman"/>
          <w:sz w:val="20"/>
        </w:rPr>
        <w:t xml:space="preserve">that the foregoing shall not restrict the Company from making an additional Tax Distribution on any other date. Quarterly Tax Distributions shall take into account the estimated taxable income or loss of the Company for the Fiscal Year through the end of the relevant quarterly period. A final accounting for Tax Distributions shall be made for each Taxable Year after the allocation of the Company’s actual net taxable income or loss has been determined and any shortfall in the amount of Tax Distributions a Member received for such Taxable Year based on such final accounting shall promptly be distributed to such Member. For the avoidance of doubt, any excess Tax Distributions a Member receives with respect to any Taxable Year shall reduce future Tax Distributions otherwise required to be made to such Member with respect to any subsequent Taxable Year.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a Member otherwise would be entitled to receive less than its Percentage Interest of the aggregate Tax Distributions to be paid pursuant to this </w:t>
      </w:r>
      <w:r>
        <w:rPr>
          <w:rFonts w:ascii="Times New Roman" w:hAnsi="Times New Roman"/>
          <w:sz w:val="20"/>
          <w:u w:val="single"/>
        </w:rPr>
        <w:t>Section 4.01(b)</w:t>
      </w:r>
      <w:r>
        <w:rPr>
          <w:rFonts w:ascii="Times New Roman" w:hAnsi="Times New Roman"/>
          <w:sz w:val="20"/>
        </w:rPr>
        <w:t xml:space="preserve"> on any given date, the Tax Distributions to such Member shall be increased to ensure that all Distributions made pursuant to this </w:t>
      </w:r>
      <w:r>
        <w:rPr>
          <w:rFonts w:ascii="Times New Roman" w:hAnsi="Times New Roman"/>
          <w:sz w:val="20"/>
          <w:u w:val="single"/>
        </w:rPr>
        <w:t>Section 4.01(b)</w:t>
      </w:r>
      <w:r>
        <w:rPr>
          <w:rFonts w:ascii="Times New Roman" w:hAnsi="Times New Roman"/>
          <w:sz w:val="20"/>
        </w:rPr>
        <w:t xml:space="preserve"> are made </w:t>
      </w:r>
      <w:r>
        <w:rPr>
          <w:rFonts w:ascii="Times New Roman" w:hAnsi="Times New Roman"/>
          <w:i/>
          <w:sz w:val="20"/>
        </w:rPr>
        <w:t xml:space="preserve">pro rata </w:t>
      </w:r>
      <w:r>
        <w:rPr>
          <w:rFonts w:ascii="Times New Roman" w:hAnsi="Times New Roman"/>
          <w:sz w:val="20"/>
        </w:rPr>
        <w:t xml:space="preserve">in accordance with the Members’ respective Percentage Interests. If, on the date of a Tax Distribution, there are insufficient funds on hand to distribute to the Members the full amount of the Tax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which such Members are otherwise entitled, Distributions pursuant to this </w:t>
      </w:r>
      <w:r>
        <w:rPr>
          <w:rFonts w:ascii="Times New Roman" w:hAnsi="Times New Roman"/>
          <w:sz w:val="20"/>
          <w:u w:val="single"/>
        </w:rPr>
        <w:t>Section 4.01(b)</w:t>
      </w:r>
      <w:r>
        <w:rPr>
          <w:rFonts w:ascii="Times New Roman" w:hAnsi="Times New Roman"/>
          <w:sz w:val="20"/>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 provided that any such future Tax Distributions shall still be pro-rata with respect to such Member’s current Percentage Interest at the time of such future Tax Distribution. </w:t>
      </w:r>
    </w:p>
    <w:p>
      <w:pPr>
        <w:pStyle w:val="TextBody"/>
        <w:bidi w:val="0"/>
        <w:spacing w:before="120" w:after="0"/>
        <w:jc w:val="left"/>
        <w:rPr>
          <w:rFonts w:ascii="Times New Roman" w:hAnsi="Times New Roman"/>
          <w:sz w:val="20"/>
        </w:rPr>
      </w:pPr>
      <w:r>
        <w:rPr>
          <w:rFonts w:ascii="Times New Roman" w:hAnsi="Times New Roman"/>
          <w:sz w:val="20"/>
        </w:rPr>
        <w:t xml:space="preserve">(iii) In the event of any audit by, or similar event with, a taxing authority that affects the calculation of any Member’s Assumed Tax Liability for any Taxable Year (other than an audit conducted pursuant to the Revised Partnership Audit Provisions for which no election is made pursuant to Section 6226 thereof and the Treasury Regulations promulgated thereunder), or in the event the Company files an amended tax return, each Member’s Assumed Tax Liability with respect to such year shall be recalculated by giving effect to such event (for the avoidance of doubt, taking into account interest or penalties). Any shortfall in the amount of Tax Distributions the Members received for the relevant Taxable Years based on such recalculated Assumed Tax Liability promptly shall be distributed to such Members, except, for the avoidance of doubt, to the extent Distributions were made to such Members pursuant to </w:t>
      </w:r>
      <w:r>
        <w:rPr>
          <w:rFonts w:ascii="Times New Roman" w:hAnsi="Times New Roman"/>
          <w:sz w:val="20"/>
          <w:u w:val="single"/>
        </w:rPr>
        <w:t>Section 4.01(a)</w:t>
      </w:r>
      <w:r>
        <w:rPr>
          <w:rFonts w:ascii="Times New Roman" w:hAnsi="Times New Roman"/>
          <w:sz w:val="20"/>
        </w:rPr>
        <w:t xml:space="preserve"> and this </w:t>
      </w:r>
      <w:r>
        <w:rPr>
          <w:rFonts w:ascii="Times New Roman" w:hAnsi="Times New Roman"/>
          <w:sz w:val="20"/>
          <w:u w:val="single"/>
        </w:rPr>
        <w:t>Section 4.01(b)</w:t>
      </w:r>
      <w:r>
        <w:rPr>
          <w:rFonts w:ascii="Times New Roman" w:hAnsi="Times New Roman"/>
          <w:sz w:val="20"/>
        </w:rPr>
        <w:t xml:space="preserve"> in the relevant Taxable Years sufficient to cover such shortfall (except that any Tax Distribution pursuant to this sentence shall be made pro-rata with respect to such Member’s Percentage Interest at the time of such subsequent Tax Distribution).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the foregoing and anything to the contrary in this Agreement, following the Effective Date, no Member shall have any further right to any Tax Distributions (as defined in the Initial LLC Agreement) pursuant to Section 4.2 of the Initial LLC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Notwithstanding anything herein to the contrary, without the prior written consent of the Agent (as defined in the Tax Receivable Agreement), the Corporation hereby agrees and acknowledges that, subject to payment obligations required to comply with applicable Law, so long as the Tax Receivable Agreement is outstanding and in effect, any Distributions to the Corporation (including Tax Distributions) made pursuant to this Agreement shall be used by the Corporation solely in order to meet its obligations pursuant to the Tax Receivable Agreement. </w:t>
      </w:r>
    </w:p>
    <w:p>
      <w:pPr>
        <w:pStyle w:val="TextBody"/>
        <w:bidi w:val="0"/>
        <w:spacing w:before="24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CAPITAL ACCOUNTS; ALLOCATIONS; 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Capital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maintain a separate Capital Account for each Member according to the rules of Treasury Regulations Section 1.704-1(b)(2)(iv). For this purpose, the Company may (in the reasonable discretion of the Manager in consultation with the Oaktree Representative), upon the occurrence of the events specified in Treasury Regulations Section 1.704-1(b)(2)(iv)(f) (or any other event to the extent determined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Manager to be permitted under applicable law), increase or decrease the Book Values of the Company’s properties and the Capital Accounts in accordance with the rules of such Treasury Regulation and Treasury Regulations Section 1.704-1(b)(2)(iv)(g) (and any other applicable Treasury Regulations under Code Section 704(b)) to reflect a revaluation of the Company’s property. </w:t>
      </w:r>
    </w:p>
    <w:p>
      <w:pPr>
        <w:pStyle w:val="TextBody"/>
        <w:bidi w:val="0"/>
        <w:spacing w:before="120" w:after="0"/>
        <w:jc w:val="left"/>
        <w:rPr>
          <w:rFonts w:ascii="Times New Roman" w:hAnsi="Times New Roman"/>
          <w:sz w:val="20"/>
        </w:rPr>
      </w:pPr>
      <w:r>
        <w:rPr>
          <w:rFonts w:ascii="Times New Roman" w:hAnsi="Times New Roman"/>
          <w:sz w:val="20"/>
        </w:rPr>
        <w:t xml:space="preserve">(b) For purposes of computing the amount of any item of income, gain, loss or deduction with respect to the Company to be allocated pursuant to this </w:t>
      </w:r>
      <w:r>
        <w:rPr>
          <w:rFonts w:ascii="Times New Roman" w:hAnsi="Times New Roman"/>
          <w:sz w:val="20"/>
          <w:u w:val="single"/>
        </w:rPr>
        <w:t>Article V</w:t>
      </w:r>
      <w:r>
        <w:rPr>
          <w:rFonts w:ascii="Times New Roman" w:hAnsi="Times New Roman"/>
          <w:sz w:val="20"/>
        </w:rPr>
        <w:t xml:space="preserve"> and to be reflected in the Capital Accounts of the Members, the determination, recognition and classification of any such item shall be the same as its determination, recognition and classification for U.S. federal income tax purposes (including any method of depreciation, cost recovery or amortization used for this purpose); </w:t>
      </w:r>
      <w:r>
        <w:rPr>
          <w:rFonts w:ascii="Times New Roman" w:hAnsi="Times New Roman"/>
          <w:i/>
          <w:sz w:val="20"/>
        </w:rPr>
        <w:t xml:space="preserve">provided, however,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(i) The computation of all items of income, gain, loss and deduction shall include those items described in Code Section 705(a)(1)(B) or Code Section 705(a)(2)(B) and Treasury Regulations Section 1.704-1(b)(2)(iv)(i), without regard to the fact that such items are not includible in gross income or are not deductible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(ii) If the Book Value of any property of the Company is adjusted pursuant to </w:t>
      </w:r>
      <w:r>
        <w:rPr>
          <w:rFonts w:ascii="Times New Roman" w:hAnsi="Times New Roman"/>
          <w:sz w:val="20"/>
          <w:u w:val="single"/>
        </w:rPr>
        <w:t>Section 5.01(a)</w:t>
      </w:r>
      <w:r>
        <w:rPr>
          <w:rFonts w:ascii="Times New Roman" w:hAnsi="Times New Roman"/>
          <w:sz w:val="20"/>
        </w:rPr>
        <w:t xml:space="preserve"> or Treasury Regulations Section 1.704-1(b)(2)(iv)(e) or (f), the amount of such adjustment shall be taken into account as gain or loss from the disposition of such property. </w:t>
      </w:r>
    </w:p>
    <w:p>
      <w:pPr>
        <w:pStyle w:val="TextBody"/>
        <w:bidi w:val="0"/>
        <w:spacing w:before="120" w:after="0"/>
        <w:jc w:val="left"/>
        <w:rPr>
          <w:rFonts w:ascii="Times New Roman" w:hAnsi="Times New Roman"/>
          <w:sz w:val="20"/>
        </w:rPr>
      </w:pPr>
      <w:r>
        <w:rPr>
          <w:rFonts w:ascii="Times New Roman" w:hAnsi="Times New Roman"/>
          <w:sz w:val="20"/>
        </w:rPr>
        <w:t xml:space="preserve">(iii) Items of income, gain, loss or deduction attributable to the disposition of property of the Company having a Book Value that differs from its adjusted basis for tax purposes shall be computed by reference to the Book Value of such property. </w:t>
      </w:r>
    </w:p>
    <w:p>
      <w:pPr>
        <w:pStyle w:val="TextBody"/>
        <w:bidi w:val="0"/>
        <w:spacing w:before="120" w:after="0"/>
        <w:jc w:val="left"/>
        <w:rPr>
          <w:rFonts w:ascii="Times New Roman" w:hAnsi="Times New Roman"/>
          <w:sz w:val="20"/>
        </w:rPr>
      </w:pPr>
      <w:r>
        <w:rPr>
          <w:rFonts w:ascii="Times New Roman" w:hAnsi="Times New Roman"/>
          <w:sz w:val="20"/>
        </w:rPr>
        <w:t xml:space="preserve">(iv) Items of depreciation, amortization and other cost recovery deductions with respect to property of the Company having a Book Value that differs from its adjusted basis for tax purposes shall be computed by reference to the property’s Book Value in accordance with Treasury Regulations Section 1.704-1(b)(2)(iv)(g).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an adjustment to the adjusted tax basis of any asset of the Company pursuant to Code Sections 732(d), 734(b) or 743(b)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Allocations</w:t>
      </w:r>
      <w:r>
        <w:rPr>
          <w:rFonts w:ascii="Times New Roman" w:hAnsi="Times New Roman"/>
          <w:sz w:val="20"/>
        </w:rPr>
        <w:t xml:space="preserve">. Except as otherwise provided in </w:t>
      </w:r>
      <w:r>
        <w:rPr>
          <w:rFonts w:ascii="Times New Roman" w:hAnsi="Times New Roman"/>
          <w:sz w:val="20"/>
          <w:u w:val="single"/>
        </w:rPr>
        <w:t>Section 5.03</w:t>
      </w:r>
      <w:r>
        <w:rPr>
          <w:rFonts w:ascii="Times New Roman" w:hAnsi="Times New Roman"/>
          <w:sz w:val="20"/>
        </w:rPr>
        <w:t xml:space="preserve"> and </w:t>
      </w:r>
      <w:r>
        <w:rPr>
          <w:rFonts w:ascii="Times New Roman" w:hAnsi="Times New Roman"/>
          <w:sz w:val="20"/>
          <w:u w:val="single"/>
        </w:rPr>
        <w:t>Section 5.04</w:t>
      </w:r>
      <w:r>
        <w:rPr>
          <w:rFonts w:ascii="Times New Roman" w:hAnsi="Times New Roman"/>
          <w:sz w:val="20"/>
        </w:rPr>
        <w:t xml:space="preserve"> (and excluding any Profits or Losses allocated pursuant to such sections), Net Profits and Net Losses for any Taxable Year or other Fiscal Period (and to the extent determined necessary and appropriate by the Manager, any allocable items of gross income, gain, loss and expense includable in the computation of Profits and Losses) shall be allocated among the Members in a manner such that, after giving effect to the special allocations set forth in </w:t>
      </w:r>
      <w:r>
        <w:rPr>
          <w:rFonts w:ascii="Times New Roman" w:hAnsi="Times New Roman"/>
          <w:sz w:val="20"/>
          <w:u w:val="single"/>
        </w:rPr>
        <w:t>Section 5.03</w:t>
      </w:r>
      <w:r>
        <w:rPr>
          <w:rFonts w:ascii="Times New Roman" w:hAnsi="Times New Roman"/>
          <w:sz w:val="20"/>
        </w:rPr>
        <w:t xml:space="preserve"> and all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the end of such Taxable Year or other Fiscal Period, the Capital Account balances of the Members (for this purpose, increasing a Member’s Capital Account balance by such Member’s share of Minimum Gain or partner nonrecourse debt minimum gain (as defined in Treasury Regulations Section 1.704-2(i)(3))) are, as nearly as possible, pro rata in accordance with their respective Percentage Interests, assuming that any Common Units which are subject to vesting conditions in accordance with any applicable Equity Plan or individual award agreement are fully vested.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Regulatory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Losses attributable to partner nonrecourse debt (as defined in Treasury Regulations Section 1.704-2(b)(4)) shall be allocated in the manner required by Treasury Regulations Section 1.704-2(i). If there is a net decrease during a Taxable Year or other Fiscal Period in partner nonrecourse debt minimum gain (as defined in Treasury Regulations Section 1.704-2(i)(3)), Profits for such Taxable Year or other Fiscal Period (and, if necessary, for subsequent Taxable Years) shall be allocated to the Members in the amounts and of such character as determined according to Treasury Regulations Section 1.704-2(i)(4). This </w:t>
      </w:r>
      <w:r>
        <w:rPr>
          <w:rFonts w:ascii="Times New Roman" w:hAnsi="Times New Roman"/>
          <w:sz w:val="20"/>
          <w:u w:val="single"/>
        </w:rPr>
        <w:t>Section 5.03(a)</w:t>
      </w:r>
      <w:r>
        <w:rPr>
          <w:rFonts w:ascii="Times New Roman" w:hAnsi="Times New Roman"/>
          <w:sz w:val="20"/>
        </w:rPr>
        <w:t xml:space="preserve"> is intended to be a partner nonrecourse debt minimum gain chargeback provision that complies with the requirements of Treasury Regulations Section 1.704-2(i) and shall be interpreted in a manner consistent therewith. </w:t>
      </w:r>
    </w:p>
    <w:p>
      <w:pPr>
        <w:pStyle w:val="TextBody"/>
        <w:bidi w:val="0"/>
        <w:spacing w:before="120" w:after="0"/>
        <w:jc w:val="left"/>
        <w:rPr>
          <w:rFonts w:ascii="Times New Roman" w:hAnsi="Times New Roman"/>
          <w:sz w:val="20"/>
        </w:rPr>
      </w:pPr>
      <w:r>
        <w:rPr>
          <w:rFonts w:ascii="Times New Roman" w:hAnsi="Times New Roman"/>
          <w:sz w:val="20"/>
        </w:rPr>
        <w:t xml:space="preserve">(b) Nonrecourse deductions (as determined according to Treasury Regulations Section 1.704-2(c)) for any Taxable Year or other Fiscal Period shall be allocated pro rata among the Members in accordance with their Percentage Interests. Except as otherwise provided in </w:t>
      </w:r>
      <w:r>
        <w:rPr>
          <w:rFonts w:ascii="Times New Roman" w:hAnsi="Times New Roman"/>
          <w:sz w:val="20"/>
          <w:u w:val="single"/>
        </w:rPr>
        <w:t>Section 5.03(a)</w:t>
      </w:r>
      <w:r>
        <w:rPr>
          <w:rFonts w:ascii="Times New Roman" w:hAnsi="Times New Roman"/>
          <w:sz w:val="20"/>
        </w:rPr>
        <w:t xml:space="preserve">, if there is a net decrease in the Minimum Gain during any Taxable Year or other Fiscal Period, each Member shall be allocated Profits for such Taxable Year or other Fiscal Period (and, if necessary, for subsequent Taxable Years or other Fiscal Periods) in the amounts and of such character as determined according to Treasury Regulations Section 1.704-2(f). This </w:t>
      </w:r>
      <w:r>
        <w:rPr>
          <w:rFonts w:ascii="Times New Roman" w:hAnsi="Times New Roman"/>
          <w:sz w:val="20"/>
          <w:u w:val="single"/>
        </w:rPr>
        <w:t>Section 5.03(b)</w:t>
      </w:r>
      <w:r>
        <w:rPr>
          <w:rFonts w:ascii="Times New Roman" w:hAnsi="Times New Roman"/>
          <w:sz w:val="20"/>
        </w:rPr>
        <w:t xml:space="preserve"> is intended to be a minimum gain chargeback provision that complies with the requirements of Treasury Regulations Section 1.704-2(f), and shall be interpreted in a manner consistent therewith. </w:t>
      </w:r>
    </w:p>
    <w:p>
      <w:pPr>
        <w:pStyle w:val="TextBody"/>
        <w:bidi w:val="0"/>
        <w:spacing w:before="120" w:after="0"/>
        <w:jc w:val="left"/>
        <w:rPr>
          <w:rFonts w:ascii="Times New Roman" w:hAnsi="Times New Roman"/>
          <w:sz w:val="20"/>
        </w:rPr>
      </w:pPr>
      <w:r>
        <w:rPr>
          <w:rFonts w:ascii="Times New Roman" w:hAnsi="Times New Roman"/>
          <w:sz w:val="20"/>
        </w:rPr>
        <w:t xml:space="preserve">(c) If any Member that unexpectedly receives an adjustment, allocation or distribution described in Treasury Regulations Section 1.704-1(b)(2)(ii)(d) (4), (5) or (6) has an Adjusted Capital Account Deficit as of the end of any Taxable Year or other Fiscal Period, computed after the application of </w:t>
      </w:r>
      <w:r>
        <w:rPr>
          <w:rFonts w:ascii="Times New Roman" w:hAnsi="Times New Roman"/>
          <w:sz w:val="20"/>
          <w:u w:val="single"/>
        </w:rPr>
        <w:t>Sections 5.03(a)</w:t>
      </w:r>
      <w:r>
        <w:rPr>
          <w:rFonts w:ascii="Times New Roman" w:hAnsi="Times New Roman"/>
          <w:sz w:val="20"/>
        </w:rPr>
        <w:t xml:space="preserve"> and </w:t>
      </w:r>
      <w:r>
        <w:rPr>
          <w:rFonts w:ascii="Times New Roman" w:hAnsi="Times New Roman"/>
          <w:sz w:val="20"/>
          <w:u w:val="single"/>
        </w:rPr>
        <w:t>5.03(b)</w:t>
      </w:r>
      <w:r>
        <w:rPr>
          <w:rFonts w:ascii="Times New Roman" w:hAnsi="Times New Roman"/>
          <w:sz w:val="20"/>
        </w:rPr>
        <w:t xml:space="preserve"> but before the application of any other provision of this </w:t>
      </w:r>
      <w:r>
        <w:rPr>
          <w:rFonts w:ascii="Times New Roman" w:hAnsi="Times New Roman"/>
          <w:sz w:val="20"/>
          <w:u w:val="single"/>
        </w:rPr>
        <w:t>Article V</w:t>
      </w:r>
      <w:r>
        <w:rPr>
          <w:rFonts w:ascii="Times New Roman" w:hAnsi="Times New Roman"/>
          <w:sz w:val="20"/>
        </w:rPr>
        <w:t xml:space="preserve">, then Profits for such Taxable Year or other Fiscal Period shall be allocated to such Member in proportion to, and to the extent of, such Adjusted Capital Account Deficit. This </w:t>
      </w:r>
      <w:r>
        <w:rPr>
          <w:rFonts w:ascii="Times New Roman" w:hAnsi="Times New Roman"/>
          <w:sz w:val="20"/>
          <w:u w:val="single"/>
        </w:rPr>
        <w:t>Section 5.03(c)</w:t>
      </w:r>
      <w:r>
        <w:rPr>
          <w:rFonts w:ascii="Times New Roman" w:hAnsi="Times New Roman"/>
          <w:sz w:val="20"/>
        </w:rPr>
        <w:t xml:space="preserve"> is intended to be a qualified income offset provision as described in Treasury Regulations Section 1.704-1(b)(2)(ii)(d) and shall be interpreted in a manner consistent therewith. </w:t>
      </w:r>
    </w:p>
    <w:p>
      <w:pPr>
        <w:pStyle w:val="TextBody"/>
        <w:bidi w:val="0"/>
        <w:spacing w:before="120" w:after="0"/>
        <w:jc w:val="left"/>
        <w:rPr>
          <w:rFonts w:ascii="Times New Roman" w:hAnsi="Times New Roman"/>
          <w:sz w:val="20"/>
        </w:rPr>
      </w:pPr>
      <w:r>
        <w:rPr>
          <w:rFonts w:ascii="Times New Roman" w:hAnsi="Times New Roman"/>
          <w:sz w:val="20"/>
        </w:rPr>
        <w:t xml:space="preserve">(d) If the allocation of Net Losses to a Member as provided in </w:t>
      </w:r>
      <w:r>
        <w:rPr>
          <w:rFonts w:ascii="Times New Roman" w:hAnsi="Times New Roman"/>
          <w:sz w:val="20"/>
          <w:u w:val="single"/>
        </w:rPr>
        <w:t>Section 5.02</w:t>
      </w:r>
      <w:r>
        <w:rPr>
          <w:rFonts w:ascii="Times New Roman" w:hAnsi="Times New Roman"/>
          <w:sz w:val="20"/>
        </w:rPr>
        <w:t xml:space="preserve"> would create or increase an Adjusted Capital Account Deficit, there shall be allocated to such Member only that amount of Losses as will not create or increase an Adjusted Capital Account Deficit. The Net Losses that would, absent the application of the preceding sentence, otherwise be allocated to such Member shall be allocated to the other Members in accordance with their relative Percentage Interests, subject to this </w:t>
      </w:r>
      <w:r>
        <w:rPr>
          <w:rFonts w:ascii="Times New Roman" w:hAnsi="Times New Roman"/>
          <w:sz w:val="20"/>
          <w:u w:val="single"/>
        </w:rPr>
        <w:t>Section 5.03(d)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Profits and Losses described in </w:t>
      </w:r>
      <w:r>
        <w:rPr>
          <w:rFonts w:ascii="Times New Roman" w:hAnsi="Times New Roman"/>
          <w:sz w:val="20"/>
          <w:u w:val="single"/>
        </w:rPr>
        <w:t>Section 5.01(b)(v)</w:t>
      </w:r>
      <w:r>
        <w:rPr>
          <w:rFonts w:ascii="Times New Roman" w:hAnsi="Times New Roman"/>
          <w:sz w:val="20"/>
        </w:rPr>
        <w:t xml:space="preserve"> shall be allocated in a manner consistent with the manner that the adjustments to the Capital Accounts are required to be made pursuant to Treasury Regulations Section 1.704-1(b)(2)(iv). </w:t>
      </w:r>
    </w:p>
    <w:p>
      <w:pPr>
        <w:pStyle w:val="TextBody"/>
        <w:bidi w:val="0"/>
        <w:spacing w:before="120" w:after="0"/>
        <w:jc w:val="left"/>
        <w:rPr>
          <w:rFonts w:ascii="Times New Roman" w:hAnsi="Times New Roman"/>
          <w:sz w:val="20"/>
        </w:rPr>
      </w:pPr>
      <w:r>
        <w:rPr>
          <w:rFonts w:ascii="Times New Roman" w:hAnsi="Times New Roman"/>
          <w:sz w:val="20"/>
        </w:rPr>
        <w:t xml:space="preserve">(f) The allocations set forth in </w:t>
      </w:r>
      <w:r>
        <w:rPr>
          <w:rFonts w:ascii="Times New Roman" w:hAnsi="Times New Roman"/>
          <w:sz w:val="20"/>
          <w:u w:val="single"/>
        </w:rPr>
        <w:t>Section 5.03(a)</w:t>
      </w:r>
      <w:r>
        <w:rPr>
          <w:rFonts w:ascii="Times New Roman" w:hAnsi="Times New Roman"/>
          <w:sz w:val="20"/>
        </w:rPr>
        <w:t xml:space="preserve"> through and including </w:t>
      </w:r>
      <w:r>
        <w:rPr>
          <w:rFonts w:ascii="Times New Roman" w:hAnsi="Times New Roman"/>
          <w:sz w:val="20"/>
          <w:u w:val="single"/>
        </w:rPr>
        <w:t>Section 5.03(e)</w:t>
      </w:r>
      <w:r>
        <w:rPr>
          <w:rFonts w:ascii="Times New Roman" w:hAnsi="Times New Roman"/>
          <w:sz w:val="20"/>
        </w:rPr>
        <w:t xml:space="preserve"> (the “</w:t>
      </w:r>
      <w:r>
        <w:rPr>
          <w:rFonts w:ascii="Times New Roman" w:hAnsi="Times New Roman"/>
          <w:b/>
          <w:i/>
          <w:sz w:val="20"/>
        </w:rPr>
        <w:t>Regulatory Allocations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are intended to comply with certain requirements of Sections 1.704-1(b) and 1.704-2 of the Treasury Regulations. The Regulatory Allocations may not be consistent with the manner in which the Members intend to allocate Profit and Loss of the Company or make Distributions. Accordingly, notwithstanding the other provisions of this </w:t>
      </w:r>
      <w:r>
        <w:rPr>
          <w:rFonts w:ascii="Times New Roman" w:hAnsi="Times New Roman"/>
          <w:sz w:val="20"/>
          <w:u w:val="single"/>
        </w:rPr>
        <w:t>Article V</w:t>
      </w:r>
      <w:r>
        <w:rPr>
          <w:rFonts w:ascii="Times New Roman" w:hAnsi="Times New Roman"/>
          <w:sz w:val="20"/>
        </w:rPr>
        <w:t xml:space="preserve">, but subject to the Regulatory Allocations, income, gain, deduction and loss with respect to the Company may, in the reasonable discretion of the Manager,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 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 In addition, if in any Fiscal Year or Fiscal Period there is a decrease in partnership minimum gain, or in partner nonrecourse debt minimum gain, and application of the minimum gain chargeback requirements set forth in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Section 5.03(b)</w:t>
      </w:r>
      <w:r>
        <w:rPr>
          <w:rFonts w:ascii="Times New Roman" w:hAnsi="Times New Roman"/>
          <w:sz w:val="20"/>
        </w:rPr>
        <w:t xml:space="preserve"> would cause a distortion in the economic arrangement among the Members, the Members may, if they do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Final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 contrary provision in this Agreement except </w:t>
      </w:r>
      <w:r>
        <w:rPr>
          <w:rFonts w:ascii="Times New Roman" w:hAnsi="Times New Roman"/>
          <w:sz w:val="20"/>
          <w:u w:val="single"/>
        </w:rPr>
        <w:t>Section 5.03</w:t>
      </w:r>
      <w:r>
        <w:rPr>
          <w:rFonts w:ascii="Times New Roman" w:hAnsi="Times New Roman"/>
          <w:sz w:val="20"/>
        </w:rPr>
        <w:t xml:space="preserve">, the Manager shall make appropriate adjustments to allocations of Profits and Losses to (or, if necessary, allocate items of gross income, gain, loss or deduction of the Company among) the Members upon the liquidation of the Company (within the meaning of Section 1.704-1(b)(2)(ii)(g) of the Treasury Regulations), the transfer of substantially all the Units (whether by sale or exchange or merger) or sale of all or substantially all the assets of the Company, such that, to the maximum extent possible, the Capital Accounts of the Members are proportionate to their Percentage Interests. In each case, such adjustments or allocations shall occur, to the maximum extent possible, in the Taxable Year of the event requiring such adjustments or allocations. </w:t>
      </w:r>
    </w:p>
    <w:p>
      <w:pPr>
        <w:pStyle w:val="TextBody"/>
        <w:bidi w:val="0"/>
        <w:spacing w:before="120" w:after="0"/>
        <w:jc w:val="left"/>
        <w:rPr>
          <w:rFonts w:ascii="Times New Roman" w:hAnsi="Times New Roman"/>
          <w:sz w:val="20"/>
        </w:rPr>
      </w:pPr>
      <w:r>
        <w:rPr>
          <w:rFonts w:ascii="Times New Roman" w:hAnsi="Times New Roman"/>
          <w:sz w:val="20"/>
        </w:rPr>
        <w:t xml:space="preserve">(b) If any holder of Common Units which are subject to vesting conditions forfeits (or the Company has repurchased at less than fair market value) all or a portion of such holder’s Unvested Units, the Company shall make forfeiture allocations in respect of such Unvested Units in the manner and to the extent required by Proposed Treasury Regulations Section 1.704-1(b)(4)(xii) (as such Proposed Treasury Regulations may be amended or modified, including upon the issuance of temporary or final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Tax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in this Section, 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w:t>
      </w:r>
      <w:r>
        <w:rPr>
          <w:rFonts w:ascii="Times New Roman" w:hAnsi="Times New Roman"/>
          <w:i/>
          <w:sz w:val="20"/>
        </w:rPr>
        <w:t xml:space="preserve">provided </w:t>
      </w:r>
      <w:r>
        <w:rPr>
          <w:rFonts w:ascii="Times New Roman" w:hAnsi="Times New Roman"/>
          <w:sz w:val="20"/>
        </w:rPr>
        <w:t xml:space="preserve">that if any such allocation is not permitted by the Code or other applicable Law, the Company’s subsequent income, gains, losses, deductions and credits will be allocated among the Members so as to reflect as nearly as possible the allocation set forth herein in computing their Capital Accounts. </w:t>
      </w:r>
    </w:p>
    <w:p>
      <w:pPr>
        <w:pStyle w:val="TextBody"/>
        <w:bidi w:val="0"/>
        <w:spacing w:before="120" w:after="0"/>
        <w:jc w:val="left"/>
        <w:rPr>
          <w:rFonts w:ascii="Times New Roman" w:hAnsi="Times New Roman"/>
          <w:sz w:val="20"/>
        </w:rPr>
      </w:pPr>
      <w:r>
        <w:rPr>
          <w:rFonts w:ascii="Times New Roman" w:hAnsi="Times New Roman"/>
          <w:sz w:val="20"/>
        </w:rPr>
        <w:t xml:space="preserve">(b) Items of taxable income, gain, loss and deduction of the Company with respect to any property contributed to the capital of the Company shall be allocated among the Members in accordance with Code Section 704(c) so as to take account of any variation between the adjusted basis of such property to the Company for federal income tax purposes and its Book Value using any method permitted under applicable Law, with such choice of method to be determined in the discretion of the Manager with the consent of the Oaktree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(c) If the Book Value of any asset of the Company is adjusted pursuant to </w:t>
      </w:r>
      <w:r>
        <w:rPr>
          <w:rFonts w:ascii="Times New Roman" w:hAnsi="Times New Roman"/>
          <w:sz w:val="20"/>
          <w:u w:val="single"/>
        </w:rPr>
        <w:t>Section 5.01(a)</w:t>
      </w:r>
      <w:r>
        <w:rPr>
          <w:rFonts w:ascii="Times New Roman" w:hAnsi="Times New Roman"/>
          <w:sz w:val="20"/>
        </w:rPr>
        <w:t xml:space="preserve">, including adjustments to the Book Value of any asset of the Company in connection with the execution of this Agreement or the IPO, subsequent allocations of items of taxable income, gain, loss and deduction with respect to such asset shall take account of any variation between the adjusted basis of such asset for federal income tax purposes and its Book Value using any method permitted under applicable Law, with such choice of method to be determined in the discretion of the Manager with the consent of the Oaktree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(d) Allocations of tax credits, tax credit recapture, and any items related thereto shall be allocated to the Members as reasonably determined by the Manager taking into account the principles of Treasury Regulations Section 1.704-1(b)(4)(ii). </w:t>
      </w:r>
    </w:p>
    <w:p>
      <w:pPr>
        <w:pStyle w:val="TextBody"/>
        <w:bidi w:val="0"/>
        <w:spacing w:before="120" w:after="0"/>
        <w:jc w:val="left"/>
        <w:rPr>
          <w:rFonts w:ascii="Times New Roman" w:hAnsi="Times New Roman"/>
          <w:sz w:val="20"/>
        </w:rPr>
      </w:pPr>
      <w:r>
        <w:rPr>
          <w:rFonts w:ascii="Times New Roman" w:hAnsi="Times New Roman"/>
          <w:sz w:val="20"/>
        </w:rPr>
        <w:t xml:space="preserve">(e) For purposes of determining a Member’s share of the Company’s “excess nonrecourse liabilities” within the meaning of Treasury Regulations Section 1.752-3(a)(3), each Member’s share of profits shall be determined pursuant to any proper method, as reasonably determined by the Manager; </w:t>
      </w:r>
      <w:r>
        <w:rPr>
          <w:rFonts w:ascii="Times New Roman" w:hAnsi="Times New Roman"/>
          <w:i/>
          <w:sz w:val="20"/>
        </w:rPr>
        <w:t xml:space="preserve">provided, </w:t>
      </w:r>
      <w:r>
        <w:rPr>
          <w:rFonts w:ascii="Times New Roman" w:hAnsi="Times New Roman"/>
          <w:sz w:val="20"/>
        </w:rPr>
        <w:t xml:space="preserve">that each year the Manager shall use its reasonable best efforts (using in all instances any proper method, including without limitation the “additional method” described in Treasury Regulations Section 1.752-3(a)(3)) to allocate a sufficient amount of the excess nonrecourse liabilities to those Members who would have at the end of the applicable Taxable Year, but for such allocation, taxable income due to the deemed distribution of money to such Member pursuant to Section 752(b) of the Code that is in excess of such Member’s adjusted tax basis in its Units. </w:t>
      </w:r>
    </w:p>
    <w:p>
      <w:pPr>
        <w:pStyle w:val="TextBody"/>
        <w:bidi w:val="0"/>
        <w:spacing w:before="120" w:after="0"/>
        <w:jc w:val="left"/>
        <w:rPr>
          <w:rFonts w:ascii="Times New Roman" w:hAnsi="Times New Roman"/>
          <w:sz w:val="20"/>
        </w:rPr>
      </w:pPr>
      <w:r>
        <w:rPr>
          <w:rFonts w:ascii="Times New Roman" w:hAnsi="Times New Roman"/>
          <w:sz w:val="20"/>
        </w:rPr>
        <w:t xml:space="preserve">(f) Allocations pursuant to this </w:t>
      </w:r>
      <w:r>
        <w:rPr>
          <w:rFonts w:ascii="Times New Roman" w:hAnsi="Times New Roman"/>
          <w:sz w:val="20"/>
          <w:u w:val="single"/>
        </w:rPr>
        <w:t>Section 5.05</w:t>
      </w:r>
      <w:r>
        <w:rPr>
          <w:rFonts w:ascii="Times New Roman" w:hAnsi="Times New Roman"/>
          <w:sz w:val="20"/>
        </w:rPr>
        <w:t xml:space="preserve"> are solely for purposes of federal, state and local taxes and shall not affect, or in any way be taken into account in computing, any Member’s Capital Account or share of Profits, Losses, Distributions or other items of the Company pursuant to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Authority of Manager; Officer Delegation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for situations in which the approval of any Member(s) is specifically required by this Agreement, (i) all management powers over the business and affairs of the Company shall be exclusively vested in Intermediate (as the successor in interest to the Blocker), as the sole managing member of the Company (Intermediate, in such capacity, the “</w:t>
      </w:r>
      <w:r>
        <w:rPr>
          <w:rFonts w:ascii="Times New Roman" w:hAnsi="Times New Roman"/>
          <w:b/>
          <w:i/>
          <w:sz w:val="20"/>
        </w:rPr>
        <w:t>Manager</w:t>
      </w:r>
      <w:r>
        <w:rPr>
          <w:rFonts w:ascii="Times New Roman" w:hAnsi="Times New Roman"/>
          <w:sz w:val="20"/>
        </w:rPr>
        <w:t xml:space="preserve">”), (ii) the Manager shall conduct, direct and exercise full control over all activities of the Company and (iii) no other Member shall have any right, authority or power to vote, consent or approve any matter, whether under the Delaware Act, this Agreement or otherwise.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w:t>
      </w:r>
      <w:r>
        <w:rPr>
          <w:rFonts w:ascii="Times New Roman" w:hAnsi="Times New Roman"/>
          <w:sz w:val="20"/>
          <w:u w:val="single"/>
        </w:rPr>
        <w:t>Section 6.04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Without limiting the authority of the Manager to act on behalf of the Company, the day-to-day business and operations of the Company may be overseen and implemented by officers of the Company (each, an “</w:t>
      </w:r>
      <w:r>
        <w:rPr>
          <w:rFonts w:ascii="Times New Roman" w:hAnsi="Times New Roman"/>
          <w:b/>
          <w:i/>
          <w:sz w:val="20"/>
        </w:rPr>
        <w:t>Officer</w:t>
      </w:r>
      <w:r>
        <w:rPr>
          <w:rFonts w:ascii="Times New Roman" w:hAnsi="Times New Roman"/>
          <w:sz w:val="20"/>
        </w:rPr>
        <w:t>” and collectively, the “</w:t>
      </w:r>
      <w:r>
        <w:rPr>
          <w:rFonts w:ascii="Times New Roman" w:hAnsi="Times New Roman"/>
          <w:b/>
          <w:i/>
          <w:sz w:val="20"/>
        </w:rPr>
        <w:t>Officers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subject to the limitations imposed by the Manager. An Officer may, but need not, be a Member. Each Officer shall be appointed by the Manager, with the initial Officers of the Company hereby appointed in such roles as set forth on </w:t>
      </w:r>
      <w:r>
        <w:rPr>
          <w:rFonts w:ascii="Times New Roman" w:hAnsi="Times New Roman"/>
          <w:sz w:val="20"/>
          <w:u w:val="single"/>
        </w:rPr>
        <w:t>Schedule 3</w:t>
      </w:r>
      <w:r>
        <w:rPr>
          <w:rFonts w:ascii="Times New Roman" w:hAnsi="Times New Roman"/>
          <w:sz w:val="20"/>
        </w:rPr>
        <w:t xml:space="preserve"> attached hereto, and shall hold office until his or her successor shall be duly designated and shall qualify or until his or her death or until he or she shall resign or shall have been removed in the manner hereinafter provided. Any one Person may hold more than one office. Subject to the other provisions of this Agreement (including in </w:t>
      </w:r>
      <w:r>
        <w:rPr>
          <w:rFonts w:ascii="Times New Roman" w:hAnsi="Times New Roman"/>
          <w:sz w:val="20"/>
          <w:u w:val="single"/>
        </w:rPr>
        <w:t>Section 6.07</w:t>
      </w:r>
      <w:r>
        <w:rPr>
          <w:rFonts w:ascii="Times New Roman" w:hAnsi="Times New Roman"/>
          <w:sz w:val="20"/>
        </w:rPr>
        <w:t xml:space="preserve"> below), the salaries or other compensation, if any, of the Officers of the Company shall be fixed from time to time by the Manager. The authority and responsibility of the Officers shall be limited to such duties as the Manager may, from time to time, delegate to them. Unless the Manager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Manager. Any Officer may be removed at any time, with or without cause, by the Manager.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conversion, division, reorganization or other combination of the Company with or into another entity, for the avoidance of doubt, without the prior consent of any Member or any other Person being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 other provision of this Agreement, neither the Manager nor any Officer authorized by the Manager shall have the authority, on behalf of the Company, either directly or indirectly, without the prior approval of the Manager and the holders of a majority of the Common Units then outstanding (excluding all Common Units held directly or indirectly by the Corporation), to take any action that would result in the failure of the Company (or any Subsidiary of the Company that is a partnership or disregarded entity for U.S. federal income tax purposes as of the Effective Date) to be taxable as a partnership (or, with respect to any such Subsidiary, as a partnership or disregarded entity) for purposes of U.S. federal income tax (or take any action that would have a similar effect), or take any position inconsistent with treating the Company as a partnership (or any such Subsidiary as a partnership or disregarded entity) for purposes of U.S. federal income tax,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Actions of the Manager</w:t>
      </w:r>
      <w:r>
        <w:rPr>
          <w:rFonts w:ascii="Times New Roman" w:hAnsi="Times New Roman"/>
          <w:sz w:val="20"/>
        </w:rPr>
        <w:t xml:space="preserve">. The Manager may act through any Officer or through any other Person or Persons to whom authority and duties have been delegated pursuant to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Resignation; No Removal</w:t>
      </w:r>
      <w:r>
        <w:rPr>
          <w:rFonts w:ascii="Times New Roman" w:hAnsi="Times New Roman"/>
          <w:sz w:val="20"/>
        </w:rPr>
        <w:t xml:space="preserve">. The Manager may resign at any time by giving written notice to the Members. Unless otherwise specified in the notice, the resignation shall take effect upon receipt thereof by the Members, and the acceptance of the resignation shall not be necessary to make it effective. For the avoidance of doubt, the Members have no right under this Agreement to remove or replace the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Vacancies</w:t>
      </w:r>
      <w:r>
        <w:rPr>
          <w:rFonts w:ascii="Times New Roman" w:hAnsi="Times New Roman"/>
          <w:sz w:val="20"/>
        </w:rPr>
        <w:t xml:space="preserve">. Vacancies in the position of Manager occurring for any reason shall be filled by the Corporation (or, if the Corporation has ceased to exist without any successor or assign, then by the holders of a majority in interest of the voting capital stock of the Corporation immediately prior to such cessation). For the avoidance of doubt, the Members (other than the Corporation) have no right under this Agreement to fill any vacancy in the position of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Transactions Between the Company and the Manager</w:t>
      </w:r>
      <w:r>
        <w:rPr>
          <w:rFonts w:ascii="Times New Roman" w:hAnsi="Times New Roman"/>
          <w:sz w:val="20"/>
        </w:rPr>
        <w:t xml:space="preserve">. The Manager may cause the Company to contract and deal with the Manager, or any Affiliate of the Manager, </w:t>
      </w:r>
      <w:r>
        <w:rPr>
          <w:rFonts w:ascii="Times New Roman" w:hAnsi="Times New Roman"/>
          <w:i/>
          <w:sz w:val="20"/>
        </w:rPr>
        <w:t xml:space="preserve">provided, </w:t>
      </w:r>
      <w:r>
        <w:rPr>
          <w:rFonts w:ascii="Times New Roman" w:hAnsi="Times New Roman"/>
          <w:sz w:val="20"/>
        </w:rPr>
        <w:t xml:space="preserve">that such contracts and dealings (other than contracts and dealings between the Company and its Subsidiaries) are on terms comparable to and competitive with those available to the Company from others dealing at arm’s length or are approved by the Members and otherwise are permitted by the Credit Agreements; </w:t>
      </w:r>
      <w:r>
        <w:rPr>
          <w:rFonts w:ascii="Times New Roman" w:hAnsi="Times New Roman"/>
          <w:i/>
          <w:sz w:val="20"/>
        </w:rPr>
        <w:t xml:space="preserve">provided </w:t>
      </w:r>
      <w:r>
        <w:rPr>
          <w:rFonts w:ascii="Times New Roman" w:hAnsi="Times New Roman"/>
          <w:sz w:val="20"/>
        </w:rPr>
        <w:t xml:space="preserve">that the foregoing shall in no way limit the Manager’s rights under </w:t>
      </w:r>
      <w:r>
        <w:rPr>
          <w:rFonts w:ascii="Times New Roman" w:hAnsi="Times New Roman"/>
          <w:sz w:val="20"/>
          <w:u w:val="single"/>
        </w:rPr>
        <w:t>Sections 3.02</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or </w:t>
      </w:r>
      <w:r>
        <w:rPr>
          <w:rFonts w:ascii="Times New Roman" w:hAnsi="Times New Roman"/>
          <w:sz w:val="20"/>
          <w:u w:val="single"/>
        </w:rPr>
        <w:t>3.10</w:t>
      </w:r>
      <w:r>
        <w:rPr>
          <w:rFonts w:ascii="Times New Roman" w:hAnsi="Times New Roman"/>
          <w:sz w:val="20"/>
        </w:rPr>
        <w:t xml:space="preserve">. The Members hereby approve each of the contracts or agreements between or among the Manager, the Company and their respective Affiliates entered into on or prior to the date of this Agreement in accordance with the Initial LLC Agreement or that the board of managers of the Company or the Corporate Board has approved in connection with the Reorganization, Recapitalization or the IPO as of the date of this Agreement, including the Tax Receivable Agreement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Reimbursement for Expenses</w:t>
      </w:r>
      <w:r>
        <w:rPr>
          <w:rFonts w:ascii="Times New Roman" w:hAnsi="Times New Roman"/>
          <w:sz w:val="20"/>
        </w:rPr>
        <w:t>. The Manager shall not be compensated for its services as Manager of the Company except as expressly provided in this Agreement. The Members acknowledge and agree that, upon consummation of the IPO, the Class A Common Stock of the Corporation, which is the parent entity of, and controls, the Manager (in such capacity, the “</w:t>
      </w:r>
      <w:r>
        <w:rPr>
          <w:rFonts w:ascii="Times New Roman" w:hAnsi="Times New Roman"/>
          <w:b/>
          <w:i/>
          <w:sz w:val="20"/>
        </w:rPr>
        <w:t>Controlling Party</w:t>
      </w:r>
      <w:r>
        <w:rPr>
          <w:rFonts w:ascii="Times New Roman" w:hAnsi="Times New Roman"/>
          <w:sz w:val="20"/>
        </w:rPr>
        <w:t xml:space="preserve">”), will be publicly traded and, therefore, the Corporation will have access to the public capital markets and that such status and the services performed by the Manager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inure to the benefit of the Company and all Members; therefore, the Controlling Party and the Manager shall be reimbursed by the Company for any reasonable out-of-pocket expenses incurred by Controlling Party or the Manager on behalf of the Company, including without limitation all fees, expenses and costs associated with the Reorganization and the IPO and all fees, expenses and costs of being a public company (including without limitation public reporting obligations, proxy statements, stockholder meetings, Stock Exchange fees, transfer agent fees, legal fees, SEC and FINRA filing fees and offering expenses) and maintaining their respective corporate existence. The Members further acknowledge and agree that the services performed by the Management Holdings Members, as LLC Employees of the Company and its Subsidiaries, will inure to the benefit of the Company and all Members; therefore, Management Holdings shall be reimbursed for any reasonable out-of-pocket expenses incurred by Management Holdings on behalf of the Company or in connection with holding its Common Units in the Company, including maintaining its corporate existence. In the event that shares of Class A Common Stock are sold to underwriters in the IPO (or in any subsequent public offering) at a price per share that is lower than the price per share for which such shares of Class A Common Stock are sold to the public in the IPO (or in such subsequent public offering, as applicable) after taking into account underwriters’ discounts or commissions and brokers’ fees or commissions (such difference, the “</w:t>
      </w:r>
      <w:r>
        <w:rPr>
          <w:rFonts w:ascii="Times New Roman" w:hAnsi="Times New Roman"/>
          <w:b/>
          <w:i/>
          <w:sz w:val="20"/>
        </w:rPr>
        <w:t>Discount</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(i) the Corporation shall be deemed to have contributed (directly or indirectly through one or more of its Subsidiaries) to the Manager, and the Manager shall be deemed to have contributed to the Company in exchange for newly issued Common Units, the full amount for which such shares of Class A Common Stock were sold to the public and (ii) the Company shall be deemed to have paid the Discount as an expense, provided that, in each case, the deemed contribution and payment in clauses (i) and (ii) shall not be determinative for applicable income tax reporting purposes. To the extent practicable, expenses incurred by the Controlling Party, the Manager or Management Holdings on behalf of or for the benefit of the Company shall be billed directly to and paid by the Company and, if and to the extent any reimbursements to the Controlling Party, the Manager, Management Holdings or any of their respective Affiliates by the Company pursuant to this </w:t>
      </w:r>
      <w:r>
        <w:rPr>
          <w:rFonts w:ascii="Times New Roman" w:hAnsi="Times New Roman"/>
          <w:sz w:val="20"/>
          <w:u w:val="single"/>
        </w:rPr>
        <w:t>Section 6.06</w:t>
      </w:r>
      <w:r>
        <w:rPr>
          <w:rFonts w:ascii="Times New Roman" w:hAnsi="Times New Roman"/>
          <w:sz w:val="20"/>
        </w:rPr>
        <w:t xml:space="preserve"> constitute gross income to such Person (as opposed to the repayment of advances made by such Person on behalf of the Company), such amounts shall be treated as “guaranteed payments” within the meaning of Code Section 707(c) and shall not be treated as distributions for purposes of computing the Members’ Capital Accounts. Notwithstanding the foregoing, the Company shall not bear any income tax obligations of the Corporation (whether or not incurred in its capacity as the Controlling Party or otherwise), the Manager or Management Holdings or any payments made pursuant to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Delegation of Authority</w:t>
      </w:r>
      <w:r>
        <w:rPr>
          <w:rFonts w:ascii="Times New Roman" w:hAnsi="Times New Roman"/>
          <w:sz w:val="20"/>
        </w:rPr>
        <w:t xml:space="preserve">. The Manager (a) may, from time to time, delegate to one or more Persons such authority and duties as the Manager may deem advisable, and (b) may assign titles (including, without limitation, chief executive officer, president, chief financial officer, chief operating officer, general counsel, senior vice president, vice president, secretary, assistant secretary, treasurer or assistant treasurer) and delegate certain authority and duties to such Persons which may be amended, restated or otherwise modified from time to time. Any number of titles may be held by the same individual. The salaries or other compensation, if any, of such agents of the Company shall be fixed from time to time by the Manager, subject to the other provisions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Limitation of Liability of Manager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herein or in an agreement entered into by such Person and the Company, neither the Manager nor any of the Manager’s Affiliates or Manager’s officers, employees or other agents shall be liable to the Company, to any Member that is not the Manager or to any other Person bound by this Agreement for any act or omission performed or omitted by the Manager in its capacity as the sole managing member of the Company pursuant to authority granted to the Manager by this Agreement; </w:t>
      </w:r>
      <w:r>
        <w:rPr>
          <w:rFonts w:ascii="Times New Roman" w:hAnsi="Times New Roman"/>
          <w:i/>
          <w:sz w:val="20"/>
        </w:rPr>
        <w:t xml:space="preserve">provided, however, </w:t>
      </w:r>
      <w:r>
        <w:rPr>
          <w:rFonts w:ascii="Times New Roman" w:hAnsi="Times New Roman"/>
          <w:sz w:val="20"/>
        </w:rPr>
        <w:t xml:space="preserve">that, except as otherwise provided herein, such limitation of liability shall not apply to the extent the act or omission was attributable to the Manager’s willful misconduct or knowing violation of Law or for any present or future material breaches of any representations, warranties or covenants by the Manager or its Affiliates contained herein or in the Other Agreements with the Company. The Manager may exercise any of the powers granted to it by this Agreement and perform any of the duties imposed upon it hereunder either directly or by or through its agents, and shall not be responsible for any misconduct or negligence on the part of any such agent (so long as such agent was selected in good faith and with reasonable care). The Manager shall be entitled to rely upon the advice of legal counsel, independent public accountants and other experts, including financial advisors, and any act of or failure to act by the Manager in good faith reliance on such advice shall in no event subject the Manager to liability to the Company or any Member that is not the Manager. </w:t>
      </w:r>
    </w:p>
    <w:p>
      <w:pPr>
        <w:pStyle w:val="TextBody"/>
        <w:bidi w:val="0"/>
        <w:spacing w:before="120" w:after="0"/>
        <w:jc w:val="left"/>
        <w:rPr>
          <w:rFonts w:ascii="Times New Roman" w:hAnsi="Times New Roman"/>
          <w:sz w:val="20"/>
        </w:rPr>
      </w:pPr>
      <w:r>
        <w:rPr>
          <w:rFonts w:ascii="Times New Roman" w:hAnsi="Times New Roman"/>
          <w:sz w:val="20"/>
        </w:rPr>
        <w:t xml:space="preserve">(b) To the fullest extent permitted by applicable Law, whenever this Agreement or any other agreement contemplated herein provides that the Manager shall act in a manner which is, or provide terms which are, “fair and reasonable” to the Company or any Member that is not the Manager, the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 notwithstanding any other provision of this Agreement or in any agreement contemplated herein or applicable provisions of Law or equity or otherwise. </w:t>
      </w:r>
    </w:p>
    <w:p>
      <w:pPr>
        <w:pStyle w:val="TextBody"/>
        <w:bidi w:val="0"/>
        <w:spacing w:before="120" w:after="0"/>
        <w:jc w:val="left"/>
        <w:rPr>
          <w:rFonts w:ascii="Times New Roman" w:hAnsi="Times New Roman"/>
          <w:sz w:val="20"/>
        </w:rPr>
      </w:pPr>
      <w:r>
        <w:rPr>
          <w:rFonts w:ascii="Times New Roman" w:hAnsi="Times New Roman"/>
          <w:sz w:val="20"/>
        </w:rPr>
        <w:t xml:space="preserve">(c) To the fullest extent permitted by applicable Law and notwithstanding any other provision of this Agreement or in any agreement contemplated herein or applicable provisions of Law or equity or otherwise, whenever in this Agreement or any other agreement contemplated herein, the Manager is permitted or required to take any action or to make a decision in its “sole discretion” or “discretion,” with “complete discretion” or under a grant of similar authority or latitude, the Manager shall be entitled to consider such interests and factors as it desires, including its own interests, and shall have no duty or obligation to give any consideration to any interest of or factors affecting the Company, other Members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(d) To the fullest extent permitted by applicable Law and notwithstanding any other provision of this Agreement or in any agreement contemplated herein or applicable provisions of Law or equity or otherwise, whenever in this Agreement the Manager is permitted or required to take any action or to make a decision in its “good faith” or under another express standard, the Manager shall act under such express standard and shall not be subject to any other or different standards imposed by this Agreement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contemplated herein, notwithstanding any provision of this Agreement or duty otherwise, existing at Law or in equity, and, notwithstanding anything contained herein to the contrary, so long as the Manager acts in good faith or in accordance with such other express standard, the resolution, action or terms so made, taken or provided by the Manager shall not constitute a breach of this Agreement or impose liability upon the Manager or any of the Manager’s Affiliates and shall be deemed approved by all Members.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Investment Company Act</w:t>
      </w:r>
      <w:r>
        <w:rPr>
          <w:rFonts w:ascii="Times New Roman" w:hAnsi="Times New Roman"/>
          <w:sz w:val="20"/>
        </w:rPr>
        <w:t xml:space="preserve">. The Manager shall use its best efforts to ensure that the Company shall not be subject to registration as an investment company pursuant to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Investment Opportunities and Conflicts of Interest</w:t>
      </w:r>
      <w:r>
        <w:rPr>
          <w:rFonts w:ascii="Times New Roman" w:hAnsi="Times New Roman"/>
          <w:sz w:val="20"/>
        </w:rPr>
        <w:t xml:space="preserve">. The holders of Units expressly acknowledge and agree that, subject to the provisions of this </w:t>
      </w:r>
      <w:r>
        <w:rPr>
          <w:rFonts w:ascii="Times New Roman" w:hAnsi="Times New Roman"/>
          <w:sz w:val="20"/>
          <w:u w:val="single"/>
        </w:rPr>
        <w:t>Section 6.10</w:t>
      </w:r>
      <w:r>
        <w:rPr>
          <w:rFonts w:ascii="Times New Roman" w:hAnsi="Times New Roman"/>
          <w:sz w:val="20"/>
        </w:rPr>
        <w:t>, (i) the Oaktree Persons are, both presently and in the future, permitted to own a controlling interest in, manage the operations of, have investments in or maintain other business relationships with entities engaged in businesses similar to or related to the businesses of the Company and its Subsidiaries (including in areas in which the Company or any of its Subsidiaries may in the future engage in business), and in related businesses other than through the Company or any of its Subsidiaries (an “</w:t>
      </w:r>
      <w:r>
        <w:rPr>
          <w:rFonts w:ascii="Times New Roman" w:hAnsi="Times New Roman"/>
          <w:b/>
          <w:i/>
          <w:sz w:val="20"/>
        </w:rPr>
        <w:t>Other Business</w:t>
      </w:r>
      <w:r>
        <w:rPr>
          <w:rFonts w:ascii="Times New Roman" w:hAnsi="Times New Roman"/>
          <w:sz w:val="20"/>
        </w:rPr>
        <w:t xml:space="preserve">”), (ii) the Oaktree Persons have and may develop relationships with businesses that are and may be competitive with the Company or any of its Subsidiaries, (iii) no Oaktree Person shall be prohibited by virtue of their investments in the Company or its Subsidiaries or their service on the board of directors or board of managers of the Corporation or any Subsidiary (if applicable) from pursuing and engaging in any such activities, (iv) no Oaktree Person (including any of their respective representatives serving on the board of directors or board of managers (or participating as nonvoting observer thereof) of the Corporation or any Subsidiary (if applicable) shall be obligated to inform the Company or any such board of any such opportunity, relationship or investment, (v) the other holders of Units shall not acquire or be entitled to any interest or participation in any Other Business as a result of the participation therein of any Oaktree Person or any of their Affiliates (including any of their respective representatives serving on the Board), and (vi) the involvement of Oaktree or any of its Affiliates (including any of their respective representatives serving on the board of directors or board of managers (or participating as nonvoting observer thereof) of the Corporation or any Subsidiary (if applicable)) in any Other Business shall not constitute a conflict of interest by such Persons with respect to the Company, any of its Subsidiaries, any holder of Units or any of their respective Affiliates.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RIGHTS AND OBLIGATIONS OF MEMBERS AND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Limitation of Liability and Duties of Members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this Agreement or in the Delaware Act, the debts, obligations and liabilities of the Company, whether arising in contract, tort or otherwise, shall be solely the debts, obligations and liabilities of the Company and no Member or Manager shall be obligated personally for any such debts, obligations, contracts or liabilities of the Company solely by reason of being a Member or the Manager (except to the extent and under the circumstances set forth in any non-waivable provision of the Delaware Act).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accordance with the Delaware Act and the laws of the State of Delaware, a Member may, under certain circumstances, be required to return amounts previously distributed to such Member. It is the intent of the Members that no Distribution to any Member pursuant to </w:t>
      </w:r>
      <w:r>
        <w:rPr>
          <w:rFonts w:ascii="Times New Roman" w:hAnsi="Times New Roman"/>
          <w:sz w:val="20"/>
          <w:u w:val="single"/>
        </w:rPr>
        <w:t>Articles IV</w:t>
      </w:r>
      <w:r>
        <w:rPr>
          <w:rFonts w:ascii="Times New Roman" w:hAnsi="Times New Roman"/>
          <w:sz w:val="20"/>
        </w:rPr>
        <w:t xml:space="preserve"> or </w:t>
      </w:r>
      <w:r>
        <w:rPr>
          <w:rFonts w:ascii="Times New Roman" w:hAnsi="Times New Roman"/>
          <w:sz w:val="20"/>
          <w:u w:val="single"/>
        </w:rPr>
        <w:t>XIV</w:t>
      </w:r>
      <w:r>
        <w:rPr>
          <w:rFonts w:ascii="Times New Roman" w:hAnsi="Times New Roman"/>
          <w:sz w:val="20"/>
        </w:rPr>
        <w:t xml:space="preserve"> 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 </w:t>
      </w:r>
    </w:p>
    <w:p>
      <w:pPr>
        <w:pStyle w:val="TextBody"/>
        <w:bidi w:val="0"/>
        <w:spacing w:before="120" w:after="0"/>
        <w:jc w:val="left"/>
        <w:rPr>
          <w:rFonts w:ascii="Times New Roman" w:hAnsi="Times New Roman"/>
          <w:sz w:val="20"/>
        </w:rPr>
      </w:pPr>
      <w:r>
        <w:rPr>
          <w:rFonts w:ascii="Times New Roman" w:hAnsi="Times New Roman"/>
          <w:sz w:val="20"/>
        </w:rPr>
        <w:t xml:space="preserve">(c) To the fullest extent permitted by applicable Law, including Section 18-1101(c) of the Delaware Act, and notwithstanding any other provision of this Agreement (but subject, and without limitation, to </w:t>
      </w:r>
      <w:r>
        <w:rPr>
          <w:rFonts w:ascii="Times New Roman" w:hAnsi="Times New Roman"/>
          <w:sz w:val="20"/>
          <w:u w:val="single"/>
        </w:rPr>
        <w:t>Section 6.08</w:t>
      </w:r>
      <w:r>
        <w:rPr>
          <w:rFonts w:ascii="Times New Roman" w:hAnsi="Times New Roman"/>
          <w:sz w:val="20"/>
        </w:rPr>
        <w:t xml:space="preserve"> with respect to the Manager) or in any agreement contemplated herein or applicable provisions of Law or equity or otherwise, the parties hereto hereby agree that to the extent that any Member (other than the Manager in its capacity as such) (or any Member’s Affiliate or any manager, managing member, general partner, director, officer, employee, agent, fiduciary or trustee of any Member or of any Affiliate of a Member) has duties (including fiduciary duties) to the Company, to the Manager, to another Member, to any Person who acquires an interest in a Unit or to any other Person bound by this Agreement, all such duties (including fiduciary duties) are hereby eliminated, to the fullest extent permitted by Law, and replaced with the duties or standards expressly set forth herein, if 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shall not eliminate the implied contractual covenant of good faith and fair dealing. The elimination of duties (including fiduciary duties) to the Company, the Manager, each of the Members, each other Person who acquires an interest in a Unit and each other Person bound by this Agreement and replacement thereof with the duties or standards expressly set forth herein, if any, are approved by the Company, the Manager, each of the Members, each other Person who acquires an interest in a Unit and each other Person bound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Lack of Authority</w:t>
      </w:r>
      <w:r>
        <w:rPr>
          <w:rFonts w:ascii="Times New Roman" w:hAnsi="Times New Roman"/>
          <w:sz w:val="20"/>
        </w:rPr>
        <w:t xml:space="preserve">. No Member, other than the Manager or a duly appointed Officer,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them by Law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No Right of Partition</w:t>
      </w:r>
      <w:r>
        <w:rPr>
          <w:rFonts w:ascii="Times New Roman" w:hAnsi="Times New Roman"/>
          <w:sz w:val="20"/>
        </w:rPr>
        <w:t xml:space="preserve">. No Member, other than the Manager, shall have the right to seek or obtain partition by court decree or operation of Law of any property of the Company, or the right to own or use particular or individual assets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hereby agrees to indemnify and hold harmless any Person (each an “</w:t>
      </w:r>
      <w:r>
        <w:rPr>
          <w:rFonts w:ascii="Times New Roman" w:hAnsi="Times New Roman"/>
          <w:b/>
          <w:i/>
          <w:sz w:val="20"/>
        </w:rPr>
        <w:t>Indemnified Person</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to the fullest extent permitted under applicable Law, as the same now exists or may hereafter be amended, substituted or replaced (but, to the fullest extent permitted by Law, in the case of any such amendment, substitution or replacement only to the extent that such amendment, substitution or replacement permits the Company to provide broader indemnification rights than the Company is providing immediately prior to such amendment), against all expenses, liabilities and losses (including attorneys’ fees, judgments, fines, excise taxes or penalties) reasonably incurred or suffered by such Person (or one or more of such Person’s Affiliates) by reason of the fact that such Person is or was a Member or an Affiliate thereof (other than as a result of an ownership interest in the Corporation), is or was the Partnership Representative, or is or was serving as the Manager or a director, officer, employee or other agent of the Manager, or a director, manager, Officer, employee or other agent of the Company or is or was serving at the request of the Company as a manager, officer, director, principal, member, employee or agent of another corporation, partnership, joint venture, limited liability company, trust or other enterprise; </w:t>
      </w:r>
      <w:r>
        <w:rPr>
          <w:rFonts w:ascii="Times New Roman" w:hAnsi="Times New Roman"/>
          <w:i/>
          <w:sz w:val="20"/>
        </w:rPr>
        <w:t xml:space="preserve">provided, however, </w:t>
      </w:r>
      <w:r>
        <w:rPr>
          <w:rFonts w:ascii="Times New Roman" w:hAnsi="Times New Roman"/>
          <w:sz w:val="20"/>
        </w:rPr>
        <w:t xml:space="preserve">that no Indemnified Person shall be indemnified for any expenses, liabilities and losses suffered that are attributable to such Indemnified Person’s or its Affiliates’ willful misconduct or knowing violation of Law or for any present or future breaches of any representations, warranties or covenants by such Indemnified Person or its Affiliates contained herein or in Other Agreements with the Company. Reasonable expenses, including out-of-pocket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The right to indemnification and the advancement of expenses conferred in this </w:t>
      </w:r>
      <w:r>
        <w:rPr>
          <w:rFonts w:ascii="Times New Roman" w:hAnsi="Times New Roman"/>
          <w:sz w:val="20"/>
          <w:u w:val="single"/>
        </w:rPr>
        <w:t>Section 7.04</w:t>
      </w:r>
      <w:r>
        <w:rPr>
          <w:rFonts w:ascii="Times New Roman" w:hAnsi="Times New Roman"/>
          <w:sz w:val="20"/>
        </w:rPr>
        <w:t xml:space="preserve"> shall not be exclusive of any other right which any Person may have or hereafter acquire under any statute, agreement, bylaw, action by the Manager or otherwise.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maintain directors’ and officers’ liability insurance, or substantially equivalent insurance, at its expense, to protect any Indemnified Person against any expense, liability or loss described in </w:t>
      </w:r>
      <w:r>
        <w:rPr>
          <w:rFonts w:ascii="Times New Roman" w:hAnsi="Times New Roman"/>
          <w:sz w:val="20"/>
          <w:u w:val="single"/>
        </w:rPr>
        <w:t>Section 7.04(a)</w:t>
      </w:r>
      <w:r>
        <w:rPr>
          <w:rFonts w:ascii="Times New Roman" w:hAnsi="Times New Roman"/>
          <w:sz w:val="20"/>
        </w:rPr>
        <w:t xml:space="preserve"> whether or not the Company would have the power to indemnify such Indemnified Person against such expense, liability or loss under the provisions of this </w:t>
      </w:r>
      <w:r>
        <w:rPr>
          <w:rFonts w:ascii="Times New Roman" w:hAnsi="Times New Roman"/>
          <w:sz w:val="20"/>
          <w:u w:val="single"/>
        </w:rPr>
        <w:t>Section 7.04</w:t>
      </w:r>
      <w:r>
        <w:rPr>
          <w:rFonts w:ascii="Times New Roman" w:hAnsi="Times New Roman"/>
          <w:sz w:val="20"/>
        </w:rPr>
        <w:t xml:space="preserve">. The Company shall use its commercially reasonable efforts to purchase and maintain property, casualty and liability insurance in types and at levels customary for companies of similar size engaged in similar lines of business, as determined in good faith by the Manager, and the Company shall use its commercially reasonable efforts to purchase directors’ and officers’ liability insurance (including employment practices coverage) with a carrier and in an amount determined necessary or desirable as determined in good faith by the Manager. </w:t>
      </w:r>
    </w:p>
    <w:p>
      <w:pPr>
        <w:pStyle w:val="TextBody"/>
        <w:bidi w:val="0"/>
        <w:spacing w:before="120" w:after="0"/>
        <w:jc w:val="left"/>
        <w:rPr>
          <w:rFonts w:ascii="Times New Roman" w:hAnsi="Times New Roman"/>
          <w:sz w:val="20"/>
        </w:rPr>
      </w:pPr>
      <w:r>
        <w:rPr>
          <w:rFonts w:ascii="Times New Roman" w:hAnsi="Times New Roman"/>
          <w:sz w:val="20"/>
        </w:rPr>
        <w:t xml:space="preserve">(d) The indemnification and advancement of expenses provided for in this </w:t>
      </w:r>
      <w:r>
        <w:rPr>
          <w:rFonts w:ascii="Times New Roman" w:hAnsi="Times New Roman"/>
          <w:sz w:val="20"/>
          <w:u w:val="single"/>
        </w:rPr>
        <w:t>Section 7.04</w:t>
      </w:r>
      <w:r>
        <w:rPr>
          <w:rFonts w:ascii="Times New Roman" w:hAnsi="Times New Roman"/>
          <w:sz w:val="20"/>
        </w:rPr>
        <w:t xml:space="preserve"> shall be provided out of and to the extent of Company assets only. No Member (unless such Member otherwise agrees in writing or is found in a non-appealable decision by a court of competent jurisdiction to have personal liability on account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have personal liability on account thereof or shall be required to make additional Capital Contributions to help satisfy such indemnity of the Company. The Company (i) shall be the primary indemnitor of first resort for such Indemnified Person pursuant to this </w:t>
      </w:r>
      <w:r>
        <w:rPr>
          <w:rFonts w:ascii="Times New Roman" w:hAnsi="Times New Roman"/>
          <w:sz w:val="20"/>
          <w:u w:val="single"/>
        </w:rPr>
        <w:t>Section 7.04</w:t>
      </w:r>
      <w:r>
        <w:rPr>
          <w:rFonts w:ascii="Times New Roman" w:hAnsi="Times New Roman"/>
          <w:sz w:val="20"/>
        </w:rPr>
        <w:t xml:space="preserve"> and (ii) shall be fully responsible for the advancement of all expenses and the payment of all damages or liabilities with respect to such Indemnified Person which are addressed by this </w:t>
      </w:r>
      <w:r>
        <w:rPr>
          <w:rFonts w:ascii="Times New Roman" w:hAnsi="Times New Roman"/>
          <w:sz w:val="20"/>
          <w:u w:val="single"/>
        </w:rPr>
        <w:t>Section 7.04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If this </w:t>
      </w:r>
      <w:r>
        <w:rPr>
          <w:rFonts w:ascii="Times New Roman" w:hAnsi="Times New Roman"/>
          <w:sz w:val="20"/>
          <w:u w:val="single"/>
        </w:rPr>
        <w:t>Section 7.04</w:t>
      </w:r>
      <w:r>
        <w:rPr>
          <w:rFonts w:ascii="Times New Roman" w:hAnsi="Times New Roman"/>
          <w:sz w:val="20"/>
        </w:rPr>
        <w:t xml:space="preserve"> or any portion hereof shall be invalidated on any ground by any court of competent jurisdiction, then the Company shall nevertheless indemnify and hold harmless each Indemnified Person pursuant to this </w:t>
      </w:r>
      <w:r>
        <w:rPr>
          <w:rFonts w:ascii="Times New Roman" w:hAnsi="Times New Roman"/>
          <w:sz w:val="20"/>
          <w:u w:val="single"/>
        </w:rPr>
        <w:t>Section 7.04</w:t>
      </w:r>
      <w:r>
        <w:rPr>
          <w:rFonts w:ascii="Times New Roman" w:hAnsi="Times New Roman"/>
          <w:sz w:val="20"/>
        </w:rPr>
        <w:t xml:space="preserve"> to the fullest extent permitted by any applicable portion of this </w:t>
      </w:r>
      <w:r>
        <w:rPr>
          <w:rFonts w:ascii="Times New Roman" w:hAnsi="Times New Roman"/>
          <w:sz w:val="20"/>
          <w:u w:val="single"/>
        </w:rPr>
        <w:t>Section 7.04</w:t>
      </w:r>
      <w:r>
        <w:rPr>
          <w:rFonts w:ascii="Times New Roman" w:hAnsi="Times New Roman"/>
          <w:sz w:val="20"/>
        </w:rPr>
        <w:t xml:space="preserve"> that shall not have been invalidated and to the fullest extent permitted by applicable Law.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BOOKS, RECORDS, ACCOUNTING AND REPORTS,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Records and Accounting</w:t>
      </w:r>
      <w:r>
        <w:rPr>
          <w:rFonts w:ascii="Times New Roman" w:hAnsi="Times New Roman"/>
          <w:sz w:val="20"/>
        </w:rPr>
        <w:t xml:space="preserve">. The Company shall keep, or cause to be kept, appropriate books and records with respect to the Company’s business, including all books and records necessary to provide any information, lists and copies of documents required pursuant to applicable Laws. Subject to any approval rights of the Oaktree Representative with respect to such matters, all matters concerning (a) the determination of the relative amount of allocations and Distributions among the Members pursuant to </w:t>
      </w:r>
      <w:r>
        <w:rPr>
          <w:rFonts w:ascii="Times New Roman" w:hAnsi="Times New Roman"/>
          <w:sz w:val="20"/>
          <w:u w:val="single"/>
        </w:rPr>
        <w:t>Articles 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and (b) 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Fiscal Year</w:t>
      </w:r>
      <w:r>
        <w:rPr>
          <w:rFonts w:ascii="Times New Roman" w:hAnsi="Times New Roman"/>
          <w:sz w:val="20"/>
        </w:rPr>
        <w:t xml:space="preserve">. The Fiscal Year of the Company shall end on December 31 of each year or such other date as may be established by the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Inspection Rights</w:t>
      </w:r>
      <w:r>
        <w:rPr>
          <w:rFonts w:ascii="Times New Roman" w:hAnsi="Times New Roman"/>
          <w:sz w:val="20"/>
        </w:rPr>
        <w:t xml:space="preserve">. The Company shall permit each Member and each of its designated representatives, at such Member’s sole cost and expense, to examine the books and records of the Company or any of its Subsidiaries at the principal office of the Company or such other location as the Manager shall reasonably approve during normal business hours and upon reasonable notice for any purpose reasonably related to such Member’s interest as a member of the Company; provided, that the Manager has a right to keep confidential from the Members certain information in accordance with Section 18-305 of the Delaware Act.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Preparation of Tax Returns</w:t>
      </w:r>
      <w:r>
        <w:rPr>
          <w:rFonts w:ascii="Times New Roman" w:hAnsi="Times New Roman"/>
          <w:sz w:val="20"/>
        </w:rPr>
        <w:t xml:space="preserve">. The Manager shall arrange for the preparation and timely filing of all tax returns required to be filed by the Company. The Manager shall use reasonable efforts to furnish, within one hundred and fifty (150) days of the close of each Taxable Year, to each Member a completed IRS Schedule K-1 (and any comparable state income tax form) and such other information as is reasonably requested by such Member relating to the Company that is necessary for such Member to comply with its tax reporting obligations. Subject to the terms and conditions of this Agreement and except as otherwise provided in this Agreement, in its capacity as Partnership Representative, the Manager shall have the authority to prepare the tax returns of the Company using such permissible methods and elections as it determines in its reasonable discretion in a manner consistent with this Agreement, including without limitation the use of any permissible method under Section 706 of the Code for purposes of determining the varying Units of its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Tax Elections</w:t>
      </w:r>
      <w:r>
        <w:rPr>
          <w:rFonts w:ascii="Times New Roman" w:hAnsi="Times New Roman"/>
          <w:sz w:val="20"/>
        </w:rPr>
        <w:t xml:space="preserve">. The Taxable Year shall be the Fiscal Year set forth in </w:t>
      </w:r>
      <w:r>
        <w:rPr>
          <w:rFonts w:ascii="Times New Roman" w:hAnsi="Times New Roman"/>
          <w:sz w:val="20"/>
          <w:u w:val="single"/>
        </w:rPr>
        <w:t>Section 8.02</w:t>
      </w:r>
      <w:r>
        <w:rPr>
          <w:rFonts w:ascii="Times New Roman" w:hAnsi="Times New Roman"/>
          <w:sz w:val="20"/>
        </w:rPr>
        <w:t xml:space="preserve">, unless otherwise required by Section 706 of the Code. The Manager shall cause the Company and each of its Subsidiaries that is treated as a partnership for U.S. federal income tax purposes to have in effect an election pursuant to Section 754 of the Code (or any similar provisions of applicable state, local or foreign tax Law) for each Taxable Year. The Manager shall take commercially reasonable efforts to cause each Person in which the Company owns a direct or indirect equity interest (other than a Subsidiary) that is so treated as a partnership to have in effect any such election for each Taxable Year. Each Member will upon request supply any information reasonably necessary to give proper effect to any such elections.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Tax Controversies</w:t>
      </w:r>
      <w:r>
        <w:rPr>
          <w:rFonts w:ascii="Times New Roman" w:hAnsi="Times New Roman"/>
          <w:sz w:val="20"/>
        </w:rPr>
        <w:t>. The Manager shall cause the Company to take all necessary actions required by Law to designate the Manager as the “partnership representative” of the Company as provided in Section 6223(a) of the Code with respect to any Taxable Year of the Company beginning after December 31, 2017, and if the “partnership representative” is an entity, the Manager is hereby authorized to designate an individual to be the sole designated individual through which such entity “partnership representative” will act (in such capacities, collectively, the “</w:t>
      </w:r>
      <w:r>
        <w:rPr>
          <w:rFonts w:ascii="Times New Roman" w:hAnsi="Times New Roman"/>
          <w:b/>
          <w:i/>
          <w:sz w:val="20"/>
        </w:rPr>
        <w:t>Partnership Representative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The Company and the Members shall cooperate fully with each other and shall use reasonable best efforts to cause the Manager (or its designated individual, as applicable) to become the Partnership Representative with respect to any taxable period of the Company with respect to which the statute of limitations has not yet expired (and causing any partnership representative or designated individual designated prior to the Effective Date to resign, be revoked or replaced, as applicable), including (as applicable) by filing certifications pursuant to Treasury Regulations Section 301.6231(a)(7)-1(d) and completing IRS Form 8979 or any other form or certificate required pursuant to Treasury Regulations Section 301.6223-1(e)(1). The Partnership Representative shall have the right and obligation to take all actions authorized and required, by the Code for the Partnership Representative and is authorized and required to represent the Company (at the Company’s expense) in connection with all examinations of the Company’s affairs by tax authorities, including any resulting administrative and judicial proceedings, and to expend Company funds for professional services reasonably incurred in connection therewith. Each Member agrees to cooperate with the Company and the Partnership Representative and to do or refrain from doing any or all things reasonably requested by the Company or the Partnership Representative with respect to the conduct of such proceedings. Without limiting the generality of the foregoing, with respect to any audit or other proceeding, the Partnership Representative shall be entitled to cause the Company (and any of its Subsidiaries) to make any available elections pursuant to Section 6226 of the Code (and similar provisions of state, local and other Law), and the Members shall cooperate to the extent reasonably requested by the Company in connection therewith. The Partnership Representative shall exercise its powers and duties in consultation with the Oaktree Representative with respect to any of the foregoing examinations or proceedings to the extent that such examinations or proceedings could reasonably be expected to adversely impact Aggregator or Management Holdings (including by impacting payments under the Tax Receivable Agreement). The Company shall reimburse the Partnership Representative for all reasonable out-of-pocket expenses incurred by the Partnership Representative, including reasonable fees of any professional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attorneys, in carrying out its duties as the Partnership Representative. The provisions of this </w:t>
      </w:r>
      <w:r>
        <w:rPr>
          <w:rFonts w:ascii="Times New Roman" w:hAnsi="Times New Roman"/>
          <w:sz w:val="20"/>
          <w:u w:val="single"/>
        </w:rPr>
        <w:t>Section 9.03</w:t>
      </w:r>
      <w:r>
        <w:rPr>
          <w:rFonts w:ascii="Times New Roman" w:hAnsi="Times New Roman"/>
          <w:sz w:val="20"/>
        </w:rPr>
        <w:t xml:space="preserve"> shall survive the transfer or termination of any Member’s interest in any Units of the Company, the termination of this Agreement and the termination of the Company, and shall remain binding on each Member for the period of time necessary to resolve all tax matters relating to the Company, and shall be subject to the provisions of the Tax Receivable Agreement, as applicable.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RESTRICTIONS ON TRANSFER OF UNITS; CERTAIN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Transfers by Members</w:t>
      </w:r>
      <w:r>
        <w:rPr>
          <w:rFonts w:ascii="Times New Roman" w:hAnsi="Times New Roman"/>
          <w:sz w:val="20"/>
        </w:rPr>
        <w:t xml:space="preserve">. No holder of Units shall Transfer any interest in any Units, except Transfers (a) pursuant to and in accordance with </w:t>
      </w:r>
      <w:r>
        <w:rPr>
          <w:rFonts w:ascii="Times New Roman" w:hAnsi="Times New Roman"/>
          <w:sz w:val="20"/>
          <w:u w:val="single"/>
        </w:rPr>
        <w:t>Sections 10.02</w:t>
      </w:r>
      <w:r>
        <w:rPr>
          <w:rFonts w:ascii="Times New Roman" w:hAnsi="Times New Roman"/>
          <w:sz w:val="20"/>
        </w:rPr>
        <w:t xml:space="preserve"> and </w:t>
      </w:r>
      <w:r>
        <w:rPr>
          <w:rFonts w:ascii="Times New Roman" w:hAnsi="Times New Roman"/>
          <w:sz w:val="20"/>
          <w:u w:val="single"/>
        </w:rPr>
        <w:t>10.09</w:t>
      </w:r>
      <w:r>
        <w:rPr>
          <w:rFonts w:ascii="Times New Roman" w:hAnsi="Times New Roman"/>
          <w:sz w:val="20"/>
        </w:rPr>
        <w:t xml:space="preserve"> or (b) approved in advance and in writing by the Manager, in the case of Transfers by any Member other than the Manager, or (c) in the case of Transfers by the Manager, to any Person who succeeds to the Manager in accordance with </w:t>
      </w:r>
      <w:r>
        <w:rPr>
          <w:rFonts w:ascii="Times New Roman" w:hAnsi="Times New Roman"/>
          <w:sz w:val="20"/>
          <w:u w:val="single"/>
        </w:rPr>
        <w:t>Section 6.04</w:t>
      </w:r>
      <w:r>
        <w:rPr>
          <w:rFonts w:ascii="Times New Roman" w:hAnsi="Times New Roman"/>
          <w:sz w:val="20"/>
        </w:rPr>
        <w:t>. Notwithstanding the foregoing, “</w:t>
      </w:r>
      <w:r>
        <w:rPr>
          <w:rFonts w:ascii="Times New Roman" w:hAnsi="Times New Roman"/>
          <w:b/>
          <w:i/>
          <w:sz w:val="20"/>
        </w:rPr>
        <w:t>Transfer</w:t>
      </w:r>
      <w:r>
        <w:rPr>
          <w:rFonts w:ascii="Times New Roman" w:hAnsi="Times New Roman"/>
          <w:sz w:val="20"/>
        </w:rPr>
        <w:t xml:space="preserve">” shall not include (i) an event that terminates the existence of a Member for income tax purposes (including, without limitation, a change in entity classification of a Member under Treasury Regulations Section 301.7701-3, a deemed sale of assets by, or deemed liquidation of, a Member pursuant to an election under Code Sections 336 or 338,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Units of such trust that is a Member), (ii) any indirect Transfer of Units held by the Manager by virtue of any Transfer of Equity Securities in the Corporation, (iii) any indirect Transfer of Units held by a Member by virtue of (x) any Transfer of a partnership interest (or similar equity interest) in an investment fund or investment partnership that is a direct or indirect equityholder of a Member or (y) any Transfer by a Management Holdings Member that is permitted, and only to the extent permitted, under the Management Holdings Agreement and the applicable Restricted Unit Award Agreement, (iv) any Transfer by Management Holdings to a Management Holdings Member that is permitted under the Management Holdings Agreement, or (v) any direct or indirect Transfer of Units in connection with the transactions contemplated by the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Permitted Transfers</w:t>
      </w:r>
      <w:r>
        <w:rPr>
          <w:rFonts w:ascii="Times New Roman" w:hAnsi="Times New Roman"/>
          <w:sz w:val="20"/>
        </w:rPr>
        <w:t xml:space="preserve">. The restrictions contained in </w:t>
      </w:r>
      <w:r>
        <w:rPr>
          <w:rFonts w:ascii="Times New Roman" w:hAnsi="Times New Roman"/>
          <w:sz w:val="20"/>
          <w:u w:val="single"/>
        </w:rPr>
        <w:t>Section 10.01</w:t>
      </w:r>
      <w:r>
        <w:rPr>
          <w:rFonts w:ascii="Times New Roman" w:hAnsi="Times New Roman"/>
          <w:sz w:val="20"/>
        </w:rPr>
        <w:t xml:space="preserve"> shall not apply to any of the following Transfers (each, a “</w:t>
      </w:r>
      <w:r>
        <w:rPr>
          <w:rFonts w:ascii="Times New Roman" w:hAnsi="Times New Roman"/>
          <w:b/>
          <w:i/>
          <w:sz w:val="20"/>
        </w:rPr>
        <w:t>Permitted Transfer</w:t>
      </w:r>
      <w:r>
        <w:rPr>
          <w:rFonts w:ascii="Times New Roman" w:hAnsi="Times New Roman"/>
          <w:sz w:val="20"/>
        </w:rPr>
        <w:t>” and each transferee, a “</w:t>
      </w:r>
      <w:r>
        <w:rPr>
          <w:rFonts w:ascii="Times New Roman" w:hAnsi="Times New Roman"/>
          <w:b/>
          <w:i/>
          <w:sz w:val="20"/>
        </w:rPr>
        <w:t>Permitted Transferee</w:t>
      </w:r>
      <w:r>
        <w:rPr>
          <w:rFonts w:ascii="Times New Roman" w:hAnsi="Times New Roman"/>
          <w:sz w:val="20"/>
        </w:rPr>
        <w:t xml:space="preserve">”): (a)(i) a Transfer pursuant to a Redemption or Direct Exchange in accordance with </w:t>
      </w:r>
      <w:r>
        <w:rPr>
          <w:rFonts w:ascii="Times New Roman" w:hAnsi="Times New Roman"/>
          <w:sz w:val="20"/>
          <w:u w:val="single"/>
        </w:rPr>
        <w:t>Article XI</w:t>
      </w:r>
      <w:r>
        <w:rPr>
          <w:rFonts w:ascii="Times New Roman" w:hAnsi="Times New Roman"/>
          <w:sz w:val="20"/>
        </w:rPr>
        <w:t xml:space="preserve"> hereof or (ii) a Transfer by a Member to the Corporation or any of its Subsidiaries, or (b)(i) a Transfer by a Member to an Affiliate, a limited partner, or an Affiliate of a limited partner of such Member or (ii) following the Oaktree Complete Redemption Date, (A) a Transfer made by Management Holdings to any Management Holdings Member in connection with any Redemption or Direct Exchange to be made in accordance with </w:t>
      </w:r>
      <w:r>
        <w:rPr>
          <w:rFonts w:ascii="Times New Roman" w:hAnsi="Times New Roman"/>
          <w:sz w:val="20"/>
          <w:u w:val="single"/>
        </w:rPr>
        <w:t>Article XI</w:t>
      </w:r>
      <w:r>
        <w:rPr>
          <w:rFonts w:ascii="Times New Roman" w:hAnsi="Times New Roman"/>
          <w:sz w:val="20"/>
        </w:rPr>
        <w:t xml:space="preserve"> (which Transfer shall be permitted to occur following delivery by Management Holdings of a Redemption Notice in respect of Redeemed Units that correspond to Corresponding Management Units held by such Management Holdings Members (and after which, such Management Holdings Member shall be deemed to be the Redeeming Member with respect thereto)), and (B) if such Redemption or Direct Exchange cannot be or is not consummated, a subsequent Transfer by such transferee Member to Management Holdings with respect to the same Common Units; </w:t>
      </w:r>
      <w:r>
        <w:rPr>
          <w:rFonts w:ascii="Times New Roman" w:hAnsi="Times New Roman"/>
          <w:i/>
          <w:sz w:val="20"/>
        </w:rPr>
        <w:t xml:space="preserve">provided, however, </w:t>
      </w:r>
      <w:r>
        <w:rPr>
          <w:rFonts w:ascii="Times New Roman" w:hAnsi="Times New Roman"/>
          <w:sz w:val="20"/>
        </w:rPr>
        <w:t xml:space="preserve">that (x) the restrictions contained in this Agreement will continue to apply to Units after any Permitted Transfer of such Units, and (y) in the case of the foregoing clause (ii), the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Transferees of the Units so Transferred shall agree in writing to be bound by the provisions of this Agreement (by delivery of a Joinder) and comply with the other requirements of </w:t>
      </w:r>
      <w:r>
        <w:rPr>
          <w:rFonts w:ascii="Times New Roman" w:hAnsi="Times New Roman"/>
          <w:sz w:val="20"/>
          <w:u w:val="single"/>
        </w:rPr>
        <w:t>Section 10.04</w:t>
      </w:r>
      <w:r>
        <w:rPr>
          <w:rFonts w:ascii="Times New Roman" w:hAnsi="Times New Roman"/>
          <w:sz w:val="20"/>
        </w:rPr>
        <w:t xml:space="preserve"> and prior to such Transfer the transferor will deliver a written notice to the Company and the Members, which notice will disclose in reasonable detail the identity of the proposed Permitted Transferee. In the case of a Permitted Transfer of any Common Units by any Member that is authorized to hold Class B Common Stock in accordance with the Corporation’s certificate of incorporation to a Permitted Transferee in accordance with this </w:t>
      </w:r>
      <w:r>
        <w:rPr>
          <w:rFonts w:ascii="Times New Roman" w:hAnsi="Times New Roman"/>
          <w:sz w:val="20"/>
          <w:u w:val="single"/>
        </w:rPr>
        <w:t>Section 10.02</w:t>
      </w:r>
      <w:r>
        <w:rPr>
          <w:rFonts w:ascii="Times New Roman" w:hAnsi="Times New Roman"/>
          <w:sz w:val="20"/>
        </w:rPr>
        <w:t xml:space="preserve">, such Member (or any subsequent Permitted Transferee of such Member) shall also transfer a number of shares of Class B Common Stock equal to the number of Common Units that were transferred by such Member (or subsequent Permitted Transferee) in the transaction to such Permitted Transferee. All Permitted Transfers are subject to the additional limitations set forth in </w:t>
      </w:r>
      <w:r>
        <w:rPr>
          <w:rFonts w:ascii="Times New Roman" w:hAnsi="Times New Roman"/>
          <w:sz w:val="20"/>
          <w:u w:val="single"/>
        </w:rPr>
        <w:t>Section 10.07(b)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Restricted Units Legend</w:t>
      </w:r>
      <w:r>
        <w:rPr>
          <w:rFonts w:ascii="Times New Roman" w:hAnsi="Times New Roman"/>
          <w:sz w:val="20"/>
        </w:rPr>
        <w:t xml:space="preserve">. The Units have not been registered under the Securities Act and, therefore, in addition to the other restrictions on Transfer contained in this Agreement, cannot be sold unless subsequently registered under the Securities Act or if an exemption from such registration is then available with respect to such sale. To the extent such Units have been certificated, each certificate evidencing Units and each certificate issued in exchange for or upon the Transfer of any Units shall be stamped or otherwise imprinted with a legend in substantially the following form: </w:t>
      </w:r>
    </w:p>
    <w:p>
      <w:pPr>
        <w:pStyle w:val="TextBody"/>
        <w:bidi w:val="0"/>
        <w:spacing w:before="240" w:after="0"/>
        <w:jc w:val="left"/>
        <w:rPr/>
      </w:pPr>
      <w:r>
        <w:rPr/>
        <w:t>“</w:t>
      </w:r>
      <w:r>
        <w:rPr>
          <w:rFonts w:ascii="Times New Roman" w:hAnsi="Times New Roman"/>
          <w:sz w:val="20"/>
        </w:rPr>
        <w:t>THE SECURITIES REPRESENTED BY THIS CERTIFICATE WERE ISSUED ON [●], AND HAVE NOT BEEN REGISTERED UNDER THE SECURITIES ACT OF 1933, AS AMENDED (THE “</w:t>
      </w:r>
      <w:r>
        <w:rPr>
          <w:rFonts w:ascii="Times New Roman" w:hAnsi="Times New Roman"/>
          <w:b/>
          <w:i/>
          <w:sz w:val="20"/>
        </w:rPr>
        <w:t>SECURITIES ACT</w:t>
      </w:r>
      <w:r>
        <w:rPr>
          <w:rFonts w:ascii="Times New Roman" w:hAnsi="Times New Roman"/>
          <w:sz w:val="20"/>
        </w:rPr>
        <w:t xml:space="preserve">”), AND MAY NOT BE SOLD OR TRANSFERRED IN THE ABSENCE OF AN EFFECTIVE REGISTRATION STATEMENT UNDER THE SECURITIES ACT OR AN EXEMPTION FROM REGISTRATION THEREUNDER. THE SECURITIES REPRESENTED BY THIS CERTIFICATE ARE ALSO SUBJECT TO ADDITIONAL RESTRICTIONS ON TRANSFER SPECIFIED IN THE SECOND AMENDED AND RESTATED LIMITED LIABILITY COMPANY AGREEMENT OF ITG PARENT, LLC, AS IT MAY BE AMENDED, RESTATED, AMENDED AND RESTATED, OR OTHERWISE MODIFIED FROM TIME TO TIME, AND ITG PARENT, LLC RESERVES THE RIGHT TO REFUSE THE TRANSFER OF SUCH SECURITIES UNTIL SUCH CONDITIONS HAVE BEEN FULFILLED WITH RESPECT TO ANY TRANSFER. A COPY OF SUCH CONDITIONS SHALL BE FURNISHED BY ITG PARENT, LLC TO THE HOLDER HEREOF UPON WRITTEN REQUEST AND WITHOUT CHARGE.”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imprint such legend on certificates (if any) evidencing Units. The legend set forth above shall be removed from the certificates (if any) evidencing any Units which cease to be Units in accordance with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Transfer</w:t>
      </w:r>
      <w:r>
        <w:rPr>
          <w:rFonts w:ascii="Times New Roman" w:hAnsi="Times New Roman"/>
          <w:sz w:val="20"/>
        </w:rPr>
        <w:t>. Prior to Transferring any Units, the Transferring holder of Units shall cause the prospective Permitted Transferee to be bound by this Agreement and any other agreements executed by the holders of Units and relating to such Units in the aggregate to which the transferor was a party (collectively, the “</w:t>
      </w:r>
      <w:r>
        <w:rPr>
          <w:rFonts w:ascii="Times New Roman" w:hAnsi="Times New Roman"/>
          <w:b/>
          <w:i/>
          <w:sz w:val="20"/>
        </w:rPr>
        <w:t>Other Agreements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by executing and delivering to the Company counterparts of this Agreement and any applicable Other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Assignee’s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Transfer of a Unit in accordance with this Agreement shall be effective as of the date of such Transfer (assuming compliance with all of the conditions to such Transfer set forth herein), and such Transfer shall be shown on the books and records of the Company. Profits, Losses and other items of the Company shall be allocated between the transferor and the transferee according to Code Section 706, using any permissible method as determined in the reasonable discretion of the Manager, in consultation with the Oaktree Representative. The Members hereby agree that any such determination by the Manager is made by “agreement of the partners” within the meaning of Treasury Regulations Section 1.706-4(f). Distributions made before the effective date of such Transfer shall be paid to the transferor, and Distributions made on or after such date shall be paid to the Assignee. </w:t>
      </w:r>
    </w:p>
    <w:p>
      <w:pPr>
        <w:pStyle w:val="TextBody"/>
        <w:bidi w:val="0"/>
        <w:spacing w:before="120" w:after="0"/>
        <w:jc w:val="left"/>
        <w:rPr>
          <w:rFonts w:ascii="Times New Roman" w:hAnsi="Times New Roman"/>
          <w:sz w:val="20"/>
        </w:rPr>
      </w:pPr>
      <w:r>
        <w:rPr>
          <w:rFonts w:ascii="Times New Roman" w:hAnsi="Times New Roman"/>
          <w:sz w:val="20"/>
        </w:rPr>
        <w:t xml:space="preserve">(b) Unless and until an Assignee becomes a Member pursuant to </w:t>
      </w:r>
      <w:r>
        <w:rPr>
          <w:rFonts w:ascii="Times New Roman" w:hAnsi="Times New Roman"/>
          <w:sz w:val="20"/>
          <w:u w:val="single"/>
        </w:rPr>
        <w:t>Article XII</w:t>
      </w:r>
      <w:r>
        <w:rPr>
          <w:rFonts w:ascii="Times New Roman" w:hAnsi="Times New Roman"/>
          <w:sz w:val="20"/>
        </w:rPr>
        <w:t xml:space="preserve">, the Assignee shall not be entitled to any of the rights granted to a Member hereunder or under applicable Law, other than the rights granted specifically to Assignees pursuant to this Agreement; </w:t>
      </w:r>
      <w:r>
        <w:rPr>
          <w:rFonts w:ascii="Times New Roman" w:hAnsi="Times New Roman"/>
          <w:i/>
          <w:sz w:val="20"/>
        </w:rPr>
        <w:t xml:space="preserve">provided, however, </w:t>
      </w:r>
      <w:r>
        <w:rPr>
          <w:rFonts w:ascii="Times New Roman" w:hAnsi="Times New Roman"/>
          <w:sz w:val="20"/>
        </w:rPr>
        <w:t xml:space="preserve">that, without relieving the Transferring Member from any such limitations or obligations as more fully described in </w:t>
      </w:r>
      <w:r>
        <w:rPr>
          <w:rFonts w:ascii="Times New Roman" w:hAnsi="Times New Roman"/>
          <w:sz w:val="20"/>
          <w:u w:val="single"/>
        </w:rPr>
        <w:t>Section 10.06</w:t>
      </w:r>
      <w:r>
        <w:rPr>
          <w:rFonts w:ascii="Times New Roman" w:hAnsi="Times New Roman"/>
          <w:sz w:val="20"/>
        </w:rPr>
        <w:t xml:space="preserve">, such Assignee shall be bound by any limitations and obligations of a Member contained herein by which a Member would be bound on account of the Assignee’s Units (including the obligation to make Capital Contributions on account of such Units).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Assignor’s Rights and Obligations</w:t>
      </w:r>
      <w:r>
        <w:rPr>
          <w:rFonts w:ascii="Times New Roman" w:hAnsi="Times New Roman"/>
          <w:sz w:val="20"/>
        </w:rPr>
        <w:t xml:space="preserve">. Any Member who shall Transfer any Unit in a manner in accordance with this Agreement shall cease to be a Member with respect to such Units and shall no longer have any rights or privileges, or, except as set forth in this </w:t>
      </w:r>
      <w:r>
        <w:rPr>
          <w:rFonts w:ascii="Times New Roman" w:hAnsi="Times New Roman"/>
          <w:sz w:val="20"/>
          <w:u w:val="single"/>
        </w:rPr>
        <w:t>Section 10.06</w:t>
      </w:r>
      <w:r>
        <w:rPr>
          <w:rFonts w:ascii="Times New Roman" w:hAnsi="Times New Roman"/>
          <w:sz w:val="20"/>
        </w:rPr>
        <w:t xml:space="preserve">, duties, liabilities or obligations, of a Member with respect to such Units or other interest (it being understood, however, that the applicable provisions of </w:t>
      </w:r>
      <w:r>
        <w:rPr>
          <w:rFonts w:ascii="Times New Roman" w:hAnsi="Times New Roman"/>
          <w:sz w:val="20"/>
          <w:u w:val="single"/>
        </w:rPr>
        <w:t>Section 6.08</w:t>
      </w:r>
      <w:r>
        <w:rPr>
          <w:rFonts w:ascii="Times New Roman" w:hAnsi="Times New Roman"/>
          <w:sz w:val="20"/>
        </w:rPr>
        <w:t xml:space="preserve"> and </w:t>
      </w:r>
      <w:r>
        <w:rPr>
          <w:rFonts w:ascii="Times New Roman" w:hAnsi="Times New Roman"/>
          <w:sz w:val="20"/>
          <w:u w:val="single"/>
        </w:rPr>
        <w:t>Section 7.04</w:t>
      </w:r>
      <w:r>
        <w:rPr>
          <w:rFonts w:ascii="Times New Roman" w:hAnsi="Times New Roman"/>
          <w:sz w:val="20"/>
        </w:rPr>
        <w:t xml:space="preserve"> shall continue to inure to such Person’s benefit), except that unless and until the Assignee (if not already a Member) is admitted as a Substituted Member in accordance with the provisions of </w:t>
      </w:r>
      <w:r>
        <w:rPr>
          <w:rFonts w:ascii="Times New Roman" w:hAnsi="Times New Roman"/>
          <w:sz w:val="20"/>
          <w:u w:val="single"/>
        </w:rPr>
        <w:t>Article XII</w:t>
      </w:r>
      <w:r>
        <w:rPr>
          <w:rFonts w:ascii="Times New Roman" w:hAnsi="Times New Roman"/>
          <w:sz w:val="20"/>
        </w:rPr>
        <w:t xml:space="preserve"> (the “</w:t>
      </w:r>
      <w:r>
        <w:rPr>
          <w:rFonts w:ascii="Times New Roman" w:hAnsi="Times New Roman"/>
          <w:b/>
          <w:i/>
          <w:sz w:val="20"/>
        </w:rPr>
        <w:t>Admission Date</w:t>
      </w:r>
      <w:r>
        <w:rPr>
          <w:rFonts w:ascii="Times New Roman" w:hAnsi="Times New Roman"/>
          <w:sz w:val="20"/>
        </w:rPr>
        <w:t xml:space="preserve">”), (i) such Transferring Member shall retain all of the duties, liabilities and obligations of a Member with respect to such Units, and (ii) the Manager may, in its sole discretion, reinstate all or any portion of the rights and privileges of such Member with respect to such Units for any period of time prior to the Admission Date. Nothing contained herein shall relieve any Member who Transfers any Units in the Company from any liability of such Member to the Company with respect to such Units that may exist as of the Admission Date or that is otherwise specified in the Delaware Act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Overriding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Transfer or attempted Transfer of any Units in violation of this Agreement (including any prohibited indirect Transfers) shall be, to the fullest extent permitted by applicable law, null and void </w:t>
      </w:r>
      <w:r>
        <w:rPr>
          <w:rFonts w:ascii="Times New Roman" w:hAnsi="Times New Roman"/>
          <w:i/>
          <w:sz w:val="20"/>
        </w:rPr>
        <w:t xml:space="preserve">ab initio, </w:t>
      </w:r>
      <w:r>
        <w:rPr>
          <w:rFonts w:ascii="Times New Roman" w:hAnsi="Times New Roman"/>
          <w:sz w:val="20"/>
        </w:rPr>
        <w:t xml:space="preserve">and the provisions of </w:t>
      </w:r>
      <w:r>
        <w:rPr>
          <w:rFonts w:ascii="Times New Roman" w:hAnsi="Times New Roman"/>
          <w:sz w:val="20"/>
          <w:u w:val="single"/>
        </w:rPr>
        <w:t>Sections 10.05</w:t>
      </w:r>
      <w:r>
        <w:rPr>
          <w:rFonts w:ascii="Times New Roman" w:hAnsi="Times New Roman"/>
          <w:sz w:val="20"/>
        </w:rPr>
        <w:t xml:space="preserve"> and </w:t>
      </w:r>
      <w:r>
        <w:rPr>
          <w:rFonts w:ascii="Times New Roman" w:hAnsi="Times New Roman"/>
          <w:sz w:val="20"/>
          <w:u w:val="single"/>
        </w:rPr>
        <w:t>10.06</w:t>
      </w:r>
      <w:r>
        <w:rPr>
          <w:rFonts w:ascii="Times New Roman" w:hAnsi="Times New Roman"/>
          <w:sz w:val="20"/>
        </w:rPr>
        <w:t xml:space="preserve"> shall not apply to any such Transfers. For the avoidance of doubt, any Person to whom a Transfer is made or attempted in violation of this Agreement shall not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Manager shall promptly amend the Schedule of Members to reflect any Permitted Transfer pursuant to this </w:t>
      </w:r>
      <w:r>
        <w:rPr>
          <w:rFonts w:ascii="Times New Roman" w:hAnsi="Times New Roman"/>
          <w:sz w:val="20"/>
          <w:u w:val="single"/>
        </w:rPr>
        <w:t>Article X</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Permitted Transferee pursuant to a Permitted Transfer of the type set forth in </w:t>
      </w:r>
      <w:r>
        <w:rPr>
          <w:rFonts w:ascii="Times New Roman" w:hAnsi="Times New Roman"/>
          <w:sz w:val="20"/>
          <w:u w:val="single"/>
        </w:rPr>
        <w:t>Section 10.02(b)(ii)</w:t>
      </w:r>
      <w:r>
        <w:rPr>
          <w:rFonts w:ascii="Times New Roman" w:hAnsi="Times New Roman"/>
          <w:sz w:val="20"/>
        </w:rPr>
        <w:t xml:space="preserve"> that is redeemed or exchanged pursuant to </w:t>
      </w:r>
      <w:r>
        <w:rPr>
          <w:rFonts w:ascii="Times New Roman" w:hAnsi="Times New Roman"/>
          <w:sz w:val="20"/>
          <w:u w:val="single"/>
        </w:rPr>
        <w:t>Article XI</w:t>
      </w:r>
      <w:r>
        <w:rPr>
          <w:rFonts w:ascii="Times New Roman" w:hAnsi="Times New Roman"/>
          <w:sz w:val="20"/>
        </w:rPr>
        <w:t xml:space="preserve"> substantially concurrently with the consummation of such Permitted Transfer shall be deemed to be set forth on the Schedule of Members until such time as such Redemption or Direct Exchange is consummated, with no further action required by the Manager (provided that the Manager shall amend the Schedule of Members following the consummation of such Redemption or Direct Exchange to reflect the occurrence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such Redemption or Direct Exchange is not consummated reasonably promptly following such Permitted Transfer, then the Manager shall promptly amend the Schedule of Members to either reflect such Permitted Transferee or any subsequent Permitted Transfer by such Permitted Transferee, as described in </w:t>
      </w:r>
      <w:r>
        <w:rPr>
          <w:rFonts w:ascii="Times New Roman" w:hAnsi="Times New Roman"/>
          <w:sz w:val="20"/>
          <w:u w:val="single"/>
        </w:rPr>
        <w:t>Section 10.02(b)(ii)</w:t>
      </w:r>
      <w:r>
        <w:rPr>
          <w:rFonts w:ascii="Times New Roman" w:hAnsi="Times New Roman"/>
          <w:sz w:val="20"/>
        </w:rPr>
        <w:t xml:space="preserve">, as applicable, in order to maintain a definitive record of ownership of the Units in accordance with </w:t>
      </w:r>
      <w:r>
        <w:rPr>
          <w:rFonts w:ascii="Times New Roman" w:hAnsi="Times New Roman"/>
          <w:sz w:val="20"/>
          <w:u w:val="single"/>
        </w:rPr>
        <w:t>Section 3.01(b)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contained herein to the contrary (including, for the avoidance of doubt, the provisions of </w:t>
      </w:r>
      <w:r>
        <w:rPr>
          <w:rFonts w:ascii="Times New Roman" w:hAnsi="Times New Roman"/>
          <w:sz w:val="20"/>
          <w:u w:val="single"/>
        </w:rPr>
        <w:t>Section 10.01</w:t>
      </w:r>
      <w:r>
        <w:rPr>
          <w:rFonts w:ascii="Times New Roman" w:hAnsi="Times New Roman"/>
          <w:sz w:val="20"/>
        </w:rPr>
        <w:t xml:space="preserve">, </w:t>
      </w:r>
      <w:r>
        <w:rPr>
          <w:rFonts w:ascii="Times New Roman" w:hAnsi="Times New Roman"/>
          <w:sz w:val="20"/>
          <w:u w:val="single"/>
        </w:rPr>
        <w:t>Section 10.02</w:t>
      </w:r>
      <w:r>
        <w:rPr>
          <w:rFonts w:ascii="Times New Roman" w:hAnsi="Times New Roman"/>
          <w:sz w:val="20"/>
        </w:rPr>
        <w:t xml:space="preserve">, </w:t>
      </w:r>
      <w:r>
        <w:rPr>
          <w:rFonts w:ascii="Times New Roman" w:hAnsi="Times New Roman"/>
          <w:sz w:val="20"/>
          <w:u w:val="single"/>
        </w:rPr>
        <w:t>Article XI</w:t>
      </w:r>
      <w:r>
        <w:rPr>
          <w:rFonts w:ascii="Times New Roman" w:hAnsi="Times New Roman"/>
          <w:sz w:val="20"/>
        </w:rPr>
        <w:t xml:space="preserve"> and </w:t>
      </w:r>
      <w:r>
        <w:rPr>
          <w:rFonts w:ascii="Times New Roman" w:hAnsi="Times New Roman"/>
          <w:sz w:val="20"/>
          <w:u w:val="single"/>
        </w:rPr>
        <w:t>Article XII</w:t>
      </w:r>
      <w:r>
        <w:rPr>
          <w:rFonts w:ascii="Times New Roman" w:hAnsi="Times New Roman"/>
          <w:sz w:val="20"/>
        </w:rPr>
        <w:t xml:space="preserve">), in no event shall any Member Transfer any Units to the extent such Transfer would: </w:t>
      </w:r>
    </w:p>
    <w:p>
      <w:pPr>
        <w:pStyle w:val="TextBody"/>
        <w:bidi w:val="0"/>
        <w:spacing w:before="120" w:after="0"/>
        <w:jc w:val="left"/>
        <w:rPr>
          <w:rFonts w:ascii="Times New Roman" w:hAnsi="Times New Roman"/>
          <w:sz w:val="20"/>
        </w:rPr>
      </w:pPr>
      <w:r>
        <w:rPr>
          <w:rFonts w:ascii="Times New Roman" w:hAnsi="Times New Roman"/>
          <w:sz w:val="20"/>
        </w:rPr>
        <w:t xml:space="preserve">(i) result in the violation of the Securities Act, or any other applicable federal, state or foreign Laws; </w:t>
      </w:r>
    </w:p>
    <w:p>
      <w:pPr>
        <w:pStyle w:val="TextBody"/>
        <w:bidi w:val="0"/>
        <w:spacing w:before="120" w:after="0"/>
        <w:jc w:val="left"/>
        <w:rPr>
          <w:rFonts w:ascii="Times New Roman" w:hAnsi="Times New Roman"/>
          <w:sz w:val="20"/>
        </w:rPr>
      </w:pPr>
      <w:r>
        <w:rPr>
          <w:rFonts w:ascii="Times New Roman" w:hAnsi="Times New Roman"/>
          <w:sz w:val="20"/>
        </w:rPr>
        <w:t xml:space="preserve">(ii) cause an assignment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(iii) in the reasonable determination of the Manager, be a violation of or a default (or an event that, with notice or the lapse of time or both, would constitute a default) under, or result in an acceleration of any obligation under any Credit Agreement to which the Corporation, the Company or any of its Subsidiaries is a party; </w:t>
      </w:r>
      <w:r>
        <w:rPr>
          <w:rFonts w:ascii="Times New Roman" w:hAnsi="Times New Roman"/>
          <w:i/>
          <w:sz w:val="20"/>
        </w:rPr>
        <w:t xml:space="preserve">provided </w:t>
      </w:r>
      <w:r>
        <w:rPr>
          <w:rFonts w:ascii="Times New Roman" w:hAnsi="Times New Roman"/>
          <w:sz w:val="20"/>
        </w:rPr>
        <w:t xml:space="preserve">that the payee or creditor to whom the Corporation, the Company or any of its Subsidiaries owes such obligation is not an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(iv) be a Transfer to a Person who is not legally competent or who has not achieved his or her majority of age under applicable Law (excluding trusts or similar arrangements established for the benefit of minors or other permitted transfers to minors under the Management Holdings Agreement); </w:t>
      </w:r>
    </w:p>
    <w:p>
      <w:pPr>
        <w:pStyle w:val="TextBody"/>
        <w:bidi w:val="0"/>
        <w:spacing w:before="120" w:after="0"/>
        <w:jc w:val="left"/>
        <w:rPr>
          <w:rFonts w:ascii="Times New Roman" w:hAnsi="Times New Roman"/>
          <w:sz w:val="20"/>
        </w:rPr>
      </w:pPr>
      <w:r>
        <w:rPr>
          <w:rFonts w:ascii="Times New Roman" w:hAnsi="Times New Roman"/>
          <w:sz w:val="20"/>
        </w:rPr>
        <w:t xml:space="preserve">(v) cause the Company to be (or create a material risk of the Company being) treated as a “publicly traded partnership” or to be taxed as a corporation pursuant to Section 7704 of the Code or any successor provision thereto under the Code; or </w:t>
      </w:r>
    </w:p>
    <w:p>
      <w:pPr>
        <w:pStyle w:val="TextBody"/>
        <w:bidi w:val="0"/>
        <w:spacing w:before="120" w:after="0"/>
        <w:jc w:val="left"/>
        <w:rPr>
          <w:rFonts w:ascii="Times New Roman" w:hAnsi="Times New Roman"/>
          <w:sz w:val="20"/>
        </w:rPr>
      </w:pPr>
      <w:r>
        <w:rPr>
          <w:rFonts w:ascii="Times New Roman" w:hAnsi="Times New Roman"/>
          <w:sz w:val="20"/>
        </w:rPr>
        <w:t xml:space="preserve">(vi) result in the Company having more than one hundred (100) partners, within the meaning of Treasury Regulations Section 1.7704-1(h)(1) (determined pursuant to the rules of Treasury Regulations Section 1.7704-1(h)(3)).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contained herein to the contrary, in no event shall any Member that is not a “United States person” within the meaning of Section 7701(a)(30) of the Code Transfer any Units, unless such Member and the transferee have delivered to the Company, in respect of the relevant Transfer, written evidence that all required withholding under Section 1446(f) of the Code will have been done and duly remitted to the applicable taxing authority or duly executed certifications (prepared in accordance with the applicable Treasury Regulations or other authorities) of an exemption from such withholding.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Certain Transactions with respect to the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p>
    <w:p>
      <w:pPr>
        <w:pStyle w:val="TextBody"/>
        <w:bidi w:val="0"/>
        <w:spacing w:before="120" w:after="0"/>
        <w:jc w:val="left"/>
        <w:rPr>
          <w:rFonts w:ascii="Times New Roman" w:hAnsi="Times New Roman"/>
          <w:sz w:val="20"/>
        </w:rPr>
      </w:pPr>
      <w:r>
        <w:rPr>
          <w:rFonts w:ascii="Times New Roman" w:hAnsi="Times New Roman"/>
          <w:sz w:val="20"/>
        </w:rPr>
        <w:t xml:space="preserve">(i) In connection with a Change of Control Transaction, the Manager shall have the right (which determination, prior to the Oaktree Complete Redemption Date, shall require the consent of the Oaktree Representative), to require each Member (other than the Corporation, the Manager and their respective subsidiaries) to effect a Redemption of all or a portion of such Member’s Units, together with an equal number of shares of Class B Common Stock, pursuant to which such Units will be exchanged for shares of Class A Common Stock (or economically equivalent cash or securities of a successor entity), subject to the right of such Member to elect to receive a Cash Settlement pursuant to this </w:t>
      </w:r>
      <w:r>
        <w:rPr>
          <w:rFonts w:ascii="Times New Roman" w:hAnsi="Times New Roman"/>
          <w:sz w:val="20"/>
          <w:u w:val="single"/>
        </w:rPr>
        <w:t>Section 10.08(a)</w:t>
      </w:r>
      <w:r>
        <w:rPr>
          <w:rFonts w:ascii="Times New Roman" w:hAnsi="Times New Roman"/>
          <w:sz w:val="20"/>
        </w:rPr>
        <w:t xml:space="preserve"> and such shares of Class B Common Stock are cancelled for no consideration, </w:t>
      </w:r>
      <w:r>
        <w:rPr>
          <w:rFonts w:ascii="Times New Roman" w:hAnsi="Times New Roman"/>
          <w:i/>
          <w:sz w:val="20"/>
        </w:rPr>
        <w:t xml:space="preserve">mutatis mutandis, </w:t>
      </w:r>
      <w:r>
        <w:rPr>
          <w:rFonts w:ascii="Times New Roman" w:hAnsi="Times New Roman"/>
          <w:sz w:val="20"/>
        </w:rPr>
        <w:t xml:space="preserve">in accordance with the Redemption provisions of </w:t>
      </w:r>
      <w:r>
        <w:rPr>
          <w:rFonts w:ascii="Times New Roman" w:hAnsi="Times New Roman"/>
          <w:sz w:val="20"/>
          <w:u w:val="single"/>
        </w:rPr>
        <w:t>Article XI</w:t>
      </w:r>
      <w:r>
        <w:rPr>
          <w:rFonts w:ascii="Times New Roman" w:hAnsi="Times New Roman"/>
          <w:sz w:val="20"/>
        </w:rPr>
        <w:t xml:space="preserve"> (applied for this purpose as if the Corporation had delivered an Election Notice that specified a Share Settlement with respect to such Redemption or, if such Member has made a Cash Election, a Cash Settlement with respect to the Units subject to such Cash Election) and otherwise in accordance with this </w:t>
      </w:r>
      <w:r>
        <w:rPr>
          <w:rFonts w:ascii="Times New Roman" w:hAnsi="Times New Roman"/>
          <w:sz w:val="20"/>
          <w:u w:val="single"/>
        </w:rPr>
        <w:t>Section 10.08(a)</w:t>
      </w:r>
      <w:r>
        <w:rPr>
          <w:rFonts w:ascii="Times New Roman" w:hAnsi="Times New Roman"/>
          <w:sz w:val="20"/>
        </w:rPr>
        <w:t xml:space="preserve"> it being understood that the Corporation may elect a Direct Exchange in connection with the foregoing, and the remaining provisions of this </w:t>
      </w:r>
      <w:r>
        <w:rPr>
          <w:rFonts w:ascii="Times New Roman" w:hAnsi="Times New Roman"/>
          <w:sz w:val="20"/>
          <w:u w:val="single"/>
        </w:rPr>
        <w:t>Section 10.08(a)</w:t>
      </w:r>
      <w:r>
        <w:rPr>
          <w:rFonts w:ascii="Times New Roman" w:hAnsi="Times New Roman"/>
          <w:sz w:val="20"/>
        </w:rPr>
        <w:t xml:space="preserve"> shall apply, mutatis mutandis, with respect to such Direct Exchange. </w:t>
      </w:r>
    </w:p>
    <w:p>
      <w:pPr>
        <w:pStyle w:val="TextBody"/>
        <w:bidi w:val="0"/>
        <w:spacing w:before="120" w:after="0"/>
        <w:jc w:val="left"/>
        <w:rPr>
          <w:rFonts w:ascii="Times New Roman" w:hAnsi="Times New Roman"/>
          <w:sz w:val="20"/>
        </w:rPr>
      </w:pPr>
      <w:r>
        <w:rPr>
          <w:rFonts w:ascii="Times New Roman" w:hAnsi="Times New Roman"/>
          <w:sz w:val="20"/>
        </w:rPr>
        <w:t>(ii) Notwithstanding anything to the contrary in this Section 10.08(a) or Article XI, if any of the conditions described in clauses (i) through (ix) of Section</w:t>
      </w:r>
      <w:r>
        <w:rPr>
          <w:rFonts w:ascii="Times New Roman" w:hAnsi="Times New Roman"/>
          <w:sz w:val="20"/>
          <w:u w:val="single"/>
        </w:rPr>
        <w:t> 11.01(e)</w:t>
      </w:r>
      <w:r>
        <w:rPr>
          <w:rFonts w:ascii="Times New Roman" w:hAnsi="Times New Roman"/>
          <w:sz w:val="20"/>
        </w:rPr>
        <w:t xml:space="preserve"> exists with respect to such Member (or, in the case of Management Holdings, any applicable Corresponding Management Holdings Member) as of the Change of Control Date, such Member may elect (a “</w:t>
      </w:r>
      <w:r>
        <w:rPr>
          <w:rFonts w:ascii="Times New Roman" w:hAnsi="Times New Roman"/>
          <w:b/>
          <w:i/>
          <w:sz w:val="20"/>
        </w:rPr>
        <w:t>Cash Election</w:t>
      </w:r>
      <w:r>
        <w:rPr>
          <w:rFonts w:ascii="Times New Roman" w:hAnsi="Times New Roman"/>
          <w:sz w:val="20"/>
        </w:rPr>
        <w:t xml:space="preserve">”), by written notice to the Company and the Corporation delivered on or prior to the Change of Control Date, to exchange all or the applicable portion of such Member’s Units subject to such Redemption for a Cash Settlement in lieu of shares of Class A Common Stock; </w:t>
      </w:r>
      <w:r>
        <w:rPr>
          <w:rFonts w:ascii="Times New Roman" w:hAnsi="Times New Roman"/>
          <w:i/>
          <w:sz w:val="20"/>
        </w:rPr>
        <w:t>provided</w:t>
      </w:r>
      <w:r>
        <w:rPr>
          <w:rFonts w:ascii="Times New Roman" w:hAnsi="Times New Roman"/>
          <w:sz w:val="20"/>
        </w:rPr>
        <w:t xml:space="preserve"> that a Cash Election shall be effective solely with respect to Units as to which one or more of the conditions described in clauses (i) through (ix) of </w:t>
      </w:r>
      <w:r>
        <w:rPr>
          <w:rFonts w:ascii="Times New Roman" w:hAnsi="Times New Roman"/>
          <w:sz w:val="20"/>
          <w:u w:val="single"/>
        </w:rPr>
        <w:t>Section 11.01(e)</w:t>
      </w:r>
      <w:r>
        <w:rPr>
          <w:rFonts w:ascii="Times New Roman" w:hAnsi="Times New Roman"/>
          <w:sz w:val="20"/>
        </w:rPr>
        <w:t xml:space="preserve"> exists as of the Change of Control Date. For purposes of any Cash Election, (A) the Corporation shall be deemed to have delivered an Election Notice specifying a Cash Settlement with respect to the applicable Units, (B)</w:t>
      </w:r>
      <w:r>
        <w:rPr>
          <w:rFonts w:ascii="Times New Roman" w:hAnsi="Times New Roman"/>
          <w:sz w:val="20"/>
          <w:u w:val="single"/>
        </w:rPr>
        <w:t> Section 11.01(c)</w:t>
      </w:r>
      <w:r>
        <w:rPr>
          <w:rFonts w:ascii="Times New Roman" w:hAnsi="Times New Roman"/>
          <w:sz w:val="20"/>
        </w:rPr>
        <w:t xml:space="preserve">, </w:t>
      </w:r>
      <w:r>
        <w:rPr>
          <w:rFonts w:ascii="Times New Roman" w:hAnsi="Times New Roman"/>
          <w:sz w:val="20"/>
          <w:u w:val="single"/>
        </w:rPr>
        <w:t>Section 11.02</w:t>
      </w:r>
      <w:r>
        <w:rPr>
          <w:rFonts w:ascii="Times New Roman" w:hAnsi="Times New Roman"/>
          <w:sz w:val="20"/>
        </w:rPr>
        <w:t xml:space="preserve"> and </w:t>
      </w:r>
      <w:r>
        <w:rPr>
          <w:rFonts w:ascii="Times New Roman" w:hAnsi="Times New Roman"/>
          <w:sz w:val="20"/>
          <w:u w:val="single"/>
        </w:rPr>
        <w:t>Section 11.03</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to such Cash Settlement, except that the availability of such Cash Election shall not be subject to the Corporation’s election or cash-availability limitation in </w:t>
      </w:r>
      <w:r>
        <w:rPr>
          <w:rFonts w:ascii="Times New Roman" w:hAnsi="Times New Roman"/>
          <w:sz w:val="20"/>
          <w:u w:val="single"/>
        </w:rPr>
        <w:t>Section 11.01(c)</w:t>
      </w:r>
      <w:r>
        <w:rPr>
          <w:rFonts w:ascii="Times New Roman" w:hAnsi="Times New Roman"/>
          <w:sz w:val="20"/>
        </w:rPr>
        <w:t>, and (C)</w:t>
      </w:r>
      <w:r>
        <w:rPr>
          <w:rFonts w:ascii="Times New Roman" w:hAnsi="Times New Roman"/>
          <w:sz w:val="20"/>
          <w:u w:val="single"/>
        </w:rPr>
        <w:t> Section 11.01(d)</w:t>
      </w:r>
      <w:r>
        <w:rPr>
          <w:rFonts w:ascii="Times New Roman" w:hAnsi="Times New Roman"/>
          <w:sz w:val="20"/>
        </w:rPr>
        <w:t xml:space="preserve"> shall not apply to such Cash Election; </w:t>
      </w:r>
      <w:r>
        <w:rPr>
          <w:rFonts w:ascii="Times New Roman" w:hAnsi="Times New Roman"/>
          <w:i/>
          <w:sz w:val="20"/>
        </w:rPr>
        <w:t>provided, further</w:t>
      </w:r>
      <w:r>
        <w:rPr>
          <w:rFonts w:ascii="Times New Roman" w:hAnsi="Times New Roman"/>
          <w:sz w:val="20"/>
        </w:rPr>
        <w:t xml:space="preserve">, that, if (x) the Corporation maintains an “Up-C” corporate structure following the completion of the applicable Change of Control Transaction, and (y) any Cash Settlement payable pursuant to a Cash Election is funded with cash other than cash available from a Secondary Offering, the Corporation and the Company shall be permitted to take such action as is necessary to preserve the one-to-one ratios required by Section 3.04(a).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such Redemption pursuant to this </w:t>
      </w:r>
      <w:r>
        <w:rPr>
          <w:rFonts w:ascii="Times New Roman" w:hAnsi="Times New Roman"/>
          <w:sz w:val="20"/>
          <w:u w:val="single"/>
        </w:rPr>
        <w:t>Section 10.08(a)</w:t>
      </w:r>
      <w:r>
        <w:rPr>
          <w:rFonts w:ascii="Times New Roman" w:hAnsi="Times New Roman"/>
          <w:sz w:val="20"/>
        </w:rPr>
        <w:t xml:space="preserve"> shall be effective immediately prior to the consummation of such Change of Control Transaction (and, for the avoidance of doubt, shall be contingent upon the consummation of such Change of Control Transaction and shall not be effective if such Change of Control Transaction is not consummated) (the date of such Redemption pursuant to this </w:t>
      </w:r>
      <w:r>
        <w:rPr>
          <w:rFonts w:ascii="Times New Roman" w:hAnsi="Times New Roman"/>
          <w:sz w:val="20"/>
          <w:u w:val="single"/>
        </w:rPr>
        <w:t>Section 10.08(a)</w:t>
      </w:r>
      <w:r>
        <w:rPr>
          <w:rFonts w:ascii="Times New Roman" w:hAnsi="Times New Roman"/>
          <w:sz w:val="20"/>
        </w:rPr>
        <w:t>, the “</w:t>
      </w:r>
      <w:r>
        <w:rPr>
          <w:rFonts w:ascii="Times New Roman" w:hAnsi="Times New Roman"/>
          <w:b/>
          <w:i/>
          <w:sz w:val="20"/>
        </w:rPr>
        <w:t>Change of Control Date</w:t>
      </w:r>
      <w:r>
        <w:rPr>
          <w:rFonts w:ascii="Times New Roman" w:hAnsi="Times New Roman"/>
          <w:sz w:val="20"/>
        </w:rPr>
        <w:t xml:space="preserve">”). From and after the Change of Control Date, (i) the Units subject to such Redemption shall be deemed to be transferred to the Corporation (or a Subsidiary thereof) and any corresponding shares of Class B Common Stock shall be deemed cancelled for no consideration, in each case, on the Change of Control Date and (ii) each such Member shall cease to have any rights with respect to the Units subject to such Redemption (other than the right to receive shares of Class A Common Stock (or economically equivalent cash or equity securities in a successor entity) pursuant to such Redemption or, if such Member has made a Cash Election, the Cash Settlement) and shall cease to have any rights with respect to any corresponding shares of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the Manager desires to initiate the provisions of this </w:t>
      </w:r>
      <w:r>
        <w:rPr>
          <w:rFonts w:ascii="Times New Roman" w:hAnsi="Times New Roman"/>
          <w:sz w:val="20"/>
          <w:u w:val="single"/>
        </w:rPr>
        <w:t>Section 10.08</w:t>
      </w:r>
      <w:r>
        <w:rPr>
          <w:rFonts w:ascii="Times New Roman" w:hAnsi="Times New Roman"/>
          <w:sz w:val="20"/>
        </w:rPr>
        <w:t xml:space="preserve">, the Manager shall provide written notice of an expected Change of Control Transaction to all Members within the earlier of (x) five (5) Business Days following the execution of an agreement with respect to such Change of Control Transaction and (y) ten (10) Business Days before the proposed date upon which the contemplated Change of Control Transaction is to be effected, including in such notice such information as may reasonably describe the Change of Control Transaction, subject to applicable Law, including the date of execution of such agreement or such proposed effective date, as applicable, the amount and types of consideration to be paid for shares of Class A Common Stock in the Change of Control Transaction and any election with respect to types of consideration that a holder of shares of Class A Common Stock, as applicable, shall be entitled to make in connection with a Change of Control Transaction (which election shall be available to each Member on the same terms as holders of shares of Class A Common Stock), and the procedures for making a Cash Election under this </w:t>
      </w:r>
      <w:r>
        <w:rPr>
          <w:rFonts w:ascii="Times New Roman" w:hAnsi="Times New Roman"/>
          <w:sz w:val="20"/>
          <w:u w:val="single"/>
        </w:rPr>
        <w:t>Section 10.08(a)</w:t>
      </w:r>
      <w:r>
        <w:rPr>
          <w:rFonts w:ascii="Times New Roman" w:hAnsi="Times New Roman"/>
          <w:sz w:val="20"/>
        </w:rPr>
        <w:t xml:space="preserve"> and, to the extent then known by the Corporation or the Manager, whether any condition described in clauses (i) through (ix) of </w:t>
      </w:r>
      <w:r>
        <w:rPr>
          <w:rFonts w:ascii="Times New Roman" w:hAnsi="Times New Roman"/>
          <w:sz w:val="20"/>
          <w:u w:val="single"/>
        </w:rPr>
        <w:t>Section 11.01(e)</w:t>
      </w:r>
      <w:r>
        <w:rPr>
          <w:rFonts w:ascii="Times New Roman" w:hAnsi="Times New Roman"/>
          <w:sz w:val="20"/>
        </w:rPr>
        <w:t xml:space="preserve"> exists or is expected to exist as of the Change of Control Date. </w:t>
      </w:r>
    </w:p>
    <w:p>
      <w:pPr>
        <w:pStyle w:val="TextBody"/>
        <w:bidi w:val="0"/>
        <w:spacing w:before="120" w:after="0"/>
        <w:jc w:val="left"/>
        <w:rPr>
          <w:rFonts w:ascii="Times New Roman" w:hAnsi="Times New Roman"/>
          <w:sz w:val="20"/>
        </w:rPr>
      </w:pPr>
      <w:r>
        <w:rPr>
          <w:rFonts w:ascii="Times New Roman" w:hAnsi="Times New Roman"/>
          <w:sz w:val="20"/>
        </w:rPr>
        <w:t xml:space="preserve">(v) Following delivery of such notice and on or prior to the Change of Control Date, the Members shall take all actions reasonably requested by the Corporation to effect such Redemption and any Cash Election in accordance with the terms of </w:t>
      </w:r>
      <w:r>
        <w:rPr>
          <w:rFonts w:ascii="Times New Roman" w:hAnsi="Times New Roman"/>
          <w:sz w:val="20"/>
          <w:u w:val="single"/>
        </w:rPr>
        <w:t>Article XI</w:t>
      </w:r>
      <w:r>
        <w:rPr>
          <w:rFonts w:ascii="Times New Roman" w:hAnsi="Times New Roman"/>
          <w:sz w:val="20"/>
        </w:rPr>
        <w:t xml:space="preserve">, including taking any action and delivering any document required pursuant to this </w:t>
      </w:r>
      <w:r>
        <w:rPr>
          <w:rFonts w:ascii="Times New Roman" w:hAnsi="Times New Roman"/>
          <w:sz w:val="20"/>
          <w:u w:val="single"/>
        </w:rPr>
        <w:t>Section 10.08(a)</w:t>
      </w:r>
      <w:r>
        <w:rPr>
          <w:rFonts w:ascii="Times New Roman" w:hAnsi="Times New Roman"/>
          <w:sz w:val="20"/>
        </w:rPr>
        <w:t xml:space="preserve"> to effect such Redemption. Notwithstanding the foregoing, in the event the Manager requires the Members to exchange less than all of their outstanding Units (and to surrender a corresponding number of shares of Class B Common Stock for cancellation), each Member’s participation in the Change of Control Transaction shall be reduced </w:t>
      </w:r>
      <w:r>
        <w:rPr>
          <w:rFonts w:ascii="Times New Roman" w:hAnsi="Times New Roman"/>
          <w:i/>
          <w:sz w:val="20"/>
        </w:rPr>
        <w:t>pro rata.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the event that a tender offer, share exchange offer, issuer bid, take-over bid, recapitalization, or similar transaction with respect to Class A Common Stock (a “</w:t>
      </w:r>
      <w:r>
        <w:rPr>
          <w:rFonts w:ascii="Times New Roman" w:hAnsi="Times New Roman"/>
          <w:b/>
          <w:i/>
          <w:sz w:val="20"/>
        </w:rPr>
        <w:t>Pubco</w:t>
      </w:r>
      <w:r>
        <w:rPr>
          <w:rFonts w:ascii="Times New Roman" w:hAnsi="Times New Roman"/>
          <w:sz w:val="20"/>
        </w:rPr>
        <w:t xml:space="preserve"> </w:t>
      </w:r>
      <w:r>
        <w:rPr>
          <w:rFonts w:ascii="Times New Roman" w:hAnsi="Times New Roman"/>
          <w:b/>
          <w:i/>
          <w:sz w:val="20"/>
        </w:rPr>
        <w:t>Offer</w:t>
      </w:r>
      <w:r>
        <w:rPr>
          <w:rFonts w:ascii="Times New Roman" w:hAnsi="Times New Roman"/>
          <w:sz w:val="20"/>
        </w:rPr>
        <w:t xml:space="preserve">”) is proposed by the Corporation or is proposed to the Corporation or its stockholders and approved by the Corporate Board or is otherwise effected or to be effected with the consent or approval of the Corporate Board, the Manager shall provide written notice of the Pubco Offer to all Members (other than the Corporation, the Manager and their respective subsidiaries) within the earlier of (i) five (5) Business Days following the execution of an agreement (if applicable) with respect to, or the commencement of (if applicable), such Pubco Offer and (ii) ten (10) Business Days before the proposed date upon which the Pubco Offer is to be effected, including in such notice such information as may reasonably describe the Pubco Offer, subject to Law, including the date of execution of such agreement (if applicable) or of such commencement (if applicable), the material terms of such Pubco Offer, including the amount and types of consideration to be received by holders of shares of Class A Common Stock in the Pubco Offer, any election with respect to types of consideration that a holder of shares of Class A Common Stock, as applicable, shall be entitled to make in connection with such Pubco Offer, and the number of Units (and the corresponding shares of Class B Common Stock) held by such Member that is applicable to such Pubco Offer. The Members (other than the Manager and the Corporation) shall be permitted to participate in such Pubco Offer by delivering a written notice of participation that is effective immediately prior to the consummation of such Pubco Offer (and that is contingent upon consummation of such offer), and shall include such information necessary for consummation of such offer as requested by the Corporation. In the case of any Pubco Offer that was initially proposed by the Corporation, the Corporation shall enable and permit the Members (other than the Manager and the Corporation) to participate in such transaction to the same extent or on an economically equivalent basis as the holders of shares of Class A Common Stock, and shall use reasonable best efforts to enable such Members to participate in such transaction in respect of such Units without being required to exchange Units or shares of Class B Common Stock prior to the consummation of such transaction. For the avoidance of doubt, in no event shall Members be entitled to receive in such Pubco Offer aggregate consideration for each Common Unit that is greater than the consideration payable in respect of each share of Class A Common Stock in connection with a Pubco Offer (it being understood that payments under or in respect of the Tax Receivable Agreement shall not be considered part of any such consideration).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a transaction or proposed transaction constitutes both a Change of Control Transaction and a Pubco Offer, the provisions of </w:t>
      </w:r>
      <w:r>
        <w:rPr>
          <w:rFonts w:ascii="Times New Roman" w:hAnsi="Times New Roman"/>
          <w:sz w:val="20"/>
          <w:u w:val="single"/>
        </w:rPr>
        <w:t>Section 10.08(a)</w:t>
      </w:r>
      <w:r>
        <w:rPr>
          <w:rFonts w:ascii="Times New Roman" w:hAnsi="Times New Roman"/>
          <w:sz w:val="20"/>
        </w:rPr>
        <w:t xml:space="preserve"> shall take precedence over the provisions of </w:t>
      </w:r>
      <w:r>
        <w:rPr>
          <w:rFonts w:ascii="Times New Roman" w:hAnsi="Times New Roman"/>
          <w:sz w:val="20"/>
          <w:u w:val="single"/>
        </w:rPr>
        <w:t>Section 10.08(b)</w:t>
      </w:r>
      <w:r>
        <w:rPr>
          <w:rFonts w:ascii="Times New Roman" w:hAnsi="Times New Roman"/>
          <w:sz w:val="20"/>
        </w:rPr>
        <w:t xml:space="preserve"> with respect to such transaction, and the provisions of </w:t>
      </w:r>
      <w:r>
        <w:rPr>
          <w:rFonts w:ascii="Times New Roman" w:hAnsi="Times New Roman"/>
          <w:sz w:val="20"/>
          <w:u w:val="single"/>
        </w:rPr>
        <w:t>Section 10.08(b)</w:t>
      </w:r>
      <w:r>
        <w:rPr>
          <w:rFonts w:ascii="Times New Roman" w:hAnsi="Times New Roman"/>
          <w:sz w:val="20"/>
        </w:rPr>
        <w:t xml:space="preserve"> shall be subordinate to provisions of </w:t>
      </w:r>
      <w:r>
        <w:rPr>
          <w:rFonts w:ascii="Times New Roman" w:hAnsi="Times New Roman"/>
          <w:sz w:val="20"/>
          <w:u w:val="single"/>
        </w:rPr>
        <w:t>Section 10.08(a)</w:t>
      </w:r>
      <w:r>
        <w:rPr>
          <w:rFonts w:ascii="Times New Roman" w:hAnsi="Times New Roman"/>
          <w:sz w:val="20"/>
        </w:rPr>
        <w:t xml:space="preserve">, and may only be triggered if the Manager elects to waive the provisions of </w:t>
      </w:r>
      <w:r>
        <w:rPr>
          <w:rFonts w:ascii="Times New Roman" w:hAnsi="Times New Roman"/>
          <w:sz w:val="20"/>
          <w:u w:val="single"/>
        </w:rPr>
        <w:t>Section 10.08(a)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Unvested Units</w:t>
      </w:r>
      <w:r>
        <w:rPr>
          <w:rFonts w:ascii="Times New Roman" w:hAnsi="Times New Roman"/>
          <w:sz w:val="20"/>
        </w:rPr>
        <w:t xml:space="preserve">. With respect to any shares of Class B Common Stock corresponding to Unvested Units in accordance with any applicable Equity Plan or Restricted Unit Award Agreement, the Member holding such shares of Class B Common Stock shall abstain from voting any such shares of Class B Common Stock with respect to any matter to be voted on or considered by the stockholders of the Corporation at any annual or special meeting of the stockholders of the Corporation or action by written consent of the stockholders of the Corporation unless and until such time as such Unvested Units have become Vested Units in accordance with the applicable Equity Plan or Restricted Unit Award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REDEMPTION AND DIRECT EXCHANGE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Redemption Right of a Member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11.01(b)</w:t>
      </w:r>
      <w:r>
        <w:rPr>
          <w:rFonts w:ascii="Times New Roman" w:hAnsi="Times New Roman"/>
          <w:sz w:val="20"/>
        </w:rPr>
        <w:t xml:space="preserve"> and </w:t>
      </w:r>
      <w:r>
        <w:rPr>
          <w:rFonts w:ascii="Times New Roman" w:hAnsi="Times New Roman"/>
          <w:sz w:val="20"/>
          <w:u w:val="single"/>
        </w:rPr>
        <w:t>Section 11.07</w:t>
      </w:r>
      <w:r>
        <w:rPr>
          <w:rFonts w:ascii="Times New Roman" w:hAnsi="Times New Roman"/>
          <w:sz w:val="20"/>
        </w:rPr>
        <w:t>, each Member (other than the Corporation and its Subsidiaries) shall be entitled to cause the Company to redeem (a “</w:t>
      </w:r>
      <w:r>
        <w:rPr>
          <w:rFonts w:ascii="Times New Roman" w:hAnsi="Times New Roman"/>
          <w:b/>
          <w:i/>
          <w:sz w:val="20"/>
        </w:rPr>
        <w:t>Redemption</w:t>
      </w:r>
      <w:r>
        <w:rPr>
          <w:rFonts w:ascii="Times New Roman" w:hAnsi="Times New Roman"/>
          <w:sz w:val="20"/>
        </w:rPr>
        <w:t xml:space="preserve">”) all or any portion of its Common Units (excluding, for the avoidance of doubt, any Common Units that the Transfer of which is prohibited pursuant to </w:t>
      </w:r>
      <w:r>
        <w:rPr>
          <w:rFonts w:ascii="Times New Roman" w:hAnsi="Times New Roman"/>
          <w:sz w:val="20"/>
          <w:u w:val="single"/>
        </w:rPr>
        <w:t>Sections 10.07(b)</w:t>
      </w:r>
      <w:r>
        <w:rPr>
          <w:rFonts w:ascii="Times New Roman" w:hAnsi="Times New Roman"/>
          <w:sz w:val="20"/>
        </w:rPr>
        <w:t xml:space="preserve"> or </w:t>
      </w:r>
      <w:r>
        <w:rPr>
          <w:rFonts w:ascii="Times New Roman" w:hAnsi="Times New Roman"/>
          <w:sz w:val="20"/>
          <w:u w:val="single"/>
        </w:rPr>
        <w:t>10.07(c)</w:t>
      </w:r>
      <w:r>
        <w:rPr>
          <w:rFonts w:ascii="Times New Roman" w:hAnsi="Times New Roman"/>
          <w:sz w:val="20"/>
        </w:rPr>
        <w:t xml:space="preserve"> of this Agreement) in whole or in part (such Common Units, the “</w:t>
      </w:r>
      <w:r>
        <w:rPr>
          <w:rFonts w:ascii="Times New Roman" w:hAnsi="Times New Roman"/>
          <w:b/>
          <w:i/>
          <w:sz w:val="20"/>
        </w:rPr>
        <w:t>Eligible Units</w:t>
      </w:r>
      <w:r>
        <w:rPr>
          <w:rFonts w:ascii="Times New Roman" w:hAnsi="Times New Roman"/>
          <w:sz w:val="20"/>
        </w:rPr>
        <w:t>”, and such right, the “</w:t>
      </w:r>
      <w:r>
        <w:rPr>
          <w:rFonts w:ascii="Times New Roman" w:hAnsi="Times New Roman"/>
          <w:b/>
          <w:i/>
          <w:sz w:val="20"/>
        </w:rPr>
        <w:t>Redemption Right</w:t>
      </w:r>
      <w:r>
        <w:rPr>
          <w:rFonts w:ascii="Times New Roman" w:hAnsi="Times New Roman"/>
          <w:sz w:val="20"/>
        </w:rPr>
        <w:t>”) at any time and from time to time following the waiver or expiration of any contractual lock-up period relating to the shares of the Corporation that may be applicable to such Member. A Member desiring to exercise its Redemption Right (each, a “</w:t>
      </w:r>
      <w:r>
        <w:rPr>
          <w:rFonts w:ascii="Times New Roman" w:hAnsi="Times New Roman"/>
          <w:b/>
          <w:i/>
          <w:sz w:val="20"/>
        </w:rPr>
        <w:t>Redeeming Member</w:t>
      </w:r>
      <w:r>
        <w:rPr>
          <w:rFonts w:ascii="Times New Roman" w:hAnsi="Times New Roman"/>
          <w:sz w:val="20"/>
        </w:rPr>
        <w:t>”) shall exercise such right by giving written notice (the “</w:t>
      </w:r>
      <w:r>
        <w:rPr>
          <w:rFonts w:ascii="Times New Roman" w:hAnsi="Times New Roman"/>
          <w:b/>
          <w:i/>
          <w:sz w:val="20"/>
        </w:rPr>
        <w:t>Redemption Notice</w:t>
      </w:r>
      <w:r>
        <w:rPr>
          <w:rFonts w:ascii="Times New Roman" w:hAnsi="Times New Roman"/>
          <w:sz w:val="20"/>
        </w:rPr>
        <w:t>”) to the Company with a copy to the Corporation. The Redemption Notice shall specify the number of Eligible Units (the “</w:t>
      </w:r>
      <w:r>
        <w:rPr>
          <w:rFonts w:ascii="Times New Roman" w:hAnsi="Times New Roman"/>
          <w:b/>
          <w:i/>
          <w:sz w:val="20"/>
        </w:rPr>
        <w:t>Redeemed Units</w:t>
      </w:r>
      <w:r>
        <w:rPr>
          <w:rFonts w:ascii="Times New Roman" w:hAnsi="Times New Roman"/>
          <w:sz w:val="20"/>
        </w:rPr>
        <w:t>”) that the Redeeming Member intends to have the Company redeem and a date, not less than three (3) Business Days nor more than ten (10) Business Days after delivery of such Redemption Notice (unless and to the extent that the Manager (and prior to the Oaktree Complete Redemption Date, the Oaktree Representative) agrees in writing to waive such time periods), on which exercise of the Redemption Right shall be completed (the “</w:t>
      </w:r>
      <w:r>
        <w:rPr>
          <w:rFonts w:ascii="Times New Roman" w:hAnsi="Times New Roman"/>
          <w:b/>
          <w:i/>
          <w:sz w:val="20"/>
        </w:rPr>
        <w:t>Redemption Date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Company, the Corporation and the Redeeming Member may change the number of Redeemed Units and/or the Redemption Date specified in such Redemption Notice to another number and/or date by mutual agreement signed in writing by each of them; </w:t>
      </w:r>
      <w:r>
        <w:rPr>
          <w:rFonts w:ascii="Times New Roman" w:hAnsi="Times New Roman"/>
          <w:i/>
          <w:sz w:val="20"/>
        </w:rPr>
        <w:t xml:space="preserve">provided, further, </w:t>
      </w:r>
      <w:r>
        <w:rPr>
          <w:rFonts w:ascii="Times New Roman" w:hAnsi="Times New Roman"/>
          <w:sz w:val="20"/>
        </w:rPr>
        <w:t xml:space="preserve">that in the event the Corporation elects a Share Settlement, the Redemption may be conditioned (including as to timing) by the Redeeming Member on the closing of an underwritten distribution of the shares of Class A Common Stock that may be issued in connection with such proposed Redemption. Subject to </w:t>
      </w:r>
      <w:r>
        <w:rPr>
          <w:rFonts w:ascii="Times New Roman" w:hAnsi="Times New Roman"/>
          <w:sz w:val="20"/>
          <w:u w:val="single"/>
        </w:rPr>
        <w:t>Section 11.03</w:t>
      </w:r>
      <w:r>
        <w:rPr>
          <w:rFonts w:ascii="Times New Roman" w:hAnsi="Times New Roman"/>
          <w:sz w:val="20"/>
        </w:rPr>
        <w:t xml:space="preserve"> and unless the Redeeming Member timely has delivered a Retraction Notice as provided in </w:t>
      </w:r>
      <w:r>
        <w:rPr>
          <w:rFonts w:ascii="Times New Roman" w:hAnsi="Times New Roman"/>
          <w:sz w:val="20"/>
          <w:u w:val="single"/>
        </w:rPr>
        <w:t>Section 11.01(d)</w:t>
      </w:r>
      <w:r>
        <w:rPr>
          <w:rFonts w:ascii="Times New Roman" w:hAnsi="Times New Roman"/>
          <w:sz w:val="20"/>
        </w:rPr>
        <w:t xml:space="preserve"> or has revoked or delayed a Redemption as provided in </w:t>
      </w:r>
      <w:r>
        <w:rPr>
          <w:rFonts w:ascii="Times New Roman" w:hAnsi="Times New Roman"/>
          <w:sz w:val="20"/>
          <w:u w:val="single"/>
        </w:rPr>
        <w:t>Section 11.01(e)</w:t>
      </w:r>
      <w:r>
        <w:rPr>
          <w:rFonts w:ascii="Times New Roman" w:hAnsi="Times New Roman"/>
          <w:sz w:val="20"/>
        </w:rPr>
        <w:t xml:space="preserve">, on the Redemption Date (to be effective immediately prior to the close of business on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 the Redeeming Member shall Transfer and surrender, free and clear of all liens and encumbrances (x) the Redeemed Units to the Company (including any certificates representing the Redeemed Units if they are certificated), and (y) a number of shares of Class B Common Stock (together with any Corresponding Rights) equal to the number of Redeemed Units to the Corporation, to the extent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shall (x) cancel the Redeemed Units, (y) transfer to the Redeeming Member the consideration to which the Redeeming Member is entitled under </w:t>
      </w:r>
      <w:r>
        <w:rPr>
          <w:rFonts w:ascii="Times New Roman" w:hAnsi="Times New Roman"/>
          <w:sz w:val="20"/>
          <w:u w:val="single"/>
        </w:rPr>
        <w:t>Section 11.01(c)</w:t>
      </w:r>
      <w:r>
        <w:rPr>
          <w:rFonts w:ascii="Times New Roman" w:hAnsi="Times New Roman"/>
          <w:sz w:val="20"/>
        </w:rPr>
        <w:t xml:space="preserve">, and (z) if the Units are certificated, issue to the Redeeming Member a certificate for a number of Common Units equal to the difference (if any) between the number of Common Units evidenced by the certificate surrendered by the Redeeming Member pursuant to clause (i) of this </w:t>
      </w:r>
      <w:r>
        <w:rPr>
          <w:rFonts w:ascii="Times New Roman" w:hAnsi="Times New Roman"/>
          <w:sz w:val="20"/>
          <w:u w:val="single"/>
        </w:rPr>
        <w:t>Section 11.01(a)</w:t>
      </w:r>
      <w:r>
        <w:rPr>
          <w:rFonts w:ascii="Times New Roman" w:hAnsi="Times New Roman"/>
          <w:sz w:val="20"/>
        </w:rPr>
        <w:t xml:space="preserve"> and the Redeemed Units; and </w:t>
      </w:r>
    </w:p>
    <w:p>
      <w:pPr>
        <w:pStyle w:val="TextBody"/>
        <w:bidi w:val="0"/>
        <w:spacing w:before="120" w:after="0"/>
        <w:jc w:val="left"/>
        <w:rPr>
          <w:rFonts w:ascii="Times New Roman" w:hAnsi="Times New Roman"/>
          <w:sz w:val="20"/>
        </w:rPr>
      </w:pPr>
      <w:r>
        <w:rPr>
          <w:rFonts w:ascii="Times New Roman" w:hAnsi="Times New Roman"/>
          <w:sz w:val="20"/>
        </w:rPr>
        <w:t xml:space="preserve">(iii) the Corporation shall cancel and retire for no consideration the shares of Class B Common Stock (together with any Corresponding Rights) that were Transferred to the Corporation pursuant to </w:t>
      </w:r>
      <w:r>
        <w:rPr>
          <w:rFonts w:ascii="Times New Roman" w:hAnsi="Times New Roman"/>
          <w:sz w:val="20"/>
          <w:u w:val="single"/>
        </w:rPr>
        <w:t>Section 11.01(a)(i)(y)</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w:t>
      </w:r>
      <w:r>
        <w:rPr>
          <w:rFonts w:ascii="Times New Roman" w:hAnsi="Times New Roman"/>
          <w:sz w:val="20"/>
          <w:u w:val="single"/>
        </w:rPr>
        <w:t>Article XI</w:t>
      </w:r>
      <w:r>
        <w:rPr>
          <w:rFonts w:ascii="Times New Roman" w:hAnsi="Times New Roman"/>
          <w:sz w:val="20"/>
        </w:rPr>
        <w:t>, during the period from the Effective Date until the Oaktree Complete Redemption Date, (i) if at any time (subject to any limitations in this Agreement and applicable Law) one or more Oaktree Fund elects to exercise a Redemption Right (an “</w:t>
      </w:r>
      <w:r>
        <w:rPr>
          <w:rFonts w:ascii="Times New Roman" w:hAnsi="Times New Roman"/>
          <w:b/>
          <w:i/>
          <w:sz w:val="20"/>
        </w:rPr>
        <w:t>Oaktree Redemption</w:t>
      </w:r>
      <w:r>
        <w:rPr>
          <w:rFonts w:ascii="Times New Roman" w:hAnsi="Times New Roman"/>
          <w:sz w:val="20"/>
        </w:rPr>
        <w:t>”), Management Holdings shall transfer, in a Redemption or Direct Exchange (as applicable), a percentage of its Eligible Units that corresponds to the percentage of the Oaktree Funds’ Eligible Units (relative to the Oaktree Funds’ total aggregate Eligible Units held) in respect of which a Redemption Right is being exercised (such percentage, the “</w:t>
      </w:r>
      <w:r>
        <w:rPr>
          <w:rFonts w:ascii="Times New Roman" w:hAnsi="Times New Roman"/>
          <w:b/>
          <w:i/>
          <w:sz w:val="20"/>
        </w:rPr>
        <w:t>Oaktree Sale Percentage</w:t>
      </w:r>
      <w:r>
        <w:rPr>
          <w:rFonts w:ascii="Times New Roman" w:hAnsi="Times New Roman"/>
          <w:sz w:val="20"/>
        </w:rPr>
        <w:t xml:space="preserve">”), and (ii) Management Holdings shall not be permitted to exercise its Redemption Right pursuant to </w:t>
      </w:r>
      <w:r>
        <w:rPr>
          <w:rFonts w:ascii="Times New Roman" w:hAnsi="Times New Roman"/>
          <w:sz w:val="20"/>
          <w:u w:val="single"/>
        </w:rPr>
        <w:t>Section 11.01(a)</w:t>
      </w:r>
      <w:r>
        <w:rPr>
          <w:rFonts w:ascii="Times New Roman" w:hAnsi="Times New Roman"/>
          <w:sz w:val="20"/>
        </w:rPr>
        <w:t xml:space="preserve"> independently of an Oaktree Redemption (any such mandatory Redemption event, a “</w:t>
      </w:r>
      <w:r>
        <w:rPr>
          <w:rFonts w:ascii="Times New Roman" w:hAnsi="Times New Roman"/>
          <w:b/>
          <w:i/>
          <w:sz w:val="20"/>
        </w:rPr>
        <w:t>Management Co-Redemption</w:t>
      </w:r>
      <w:r>
        <w:rPr>
          <w:rFonts w:ascii="Times New Roman" w:hAnsi="Times New Roman"/>
          <w:sz w:val="20"/>
        </w:rPr>
        <w:t xml:space="preserve">”). In furtherance of the foregoing, if a redeeming Oaktree Fund delivers a Redemption Notice, Management Holdings shall be deemed to have delivered a Redemption Notice for purposes of a simultaneous Management Co-Redemption, with the number of Redeemed Units with respect thereto to be calculated based on the Oaktree Sale Percentage. A Management Co-Redemption shall be effectuated at the same time and on the same terms (including by means of a Direct Exchange, if elected by the Corporation pursuant to Section 11.03(a)) as the corresponding Oaktree Redemption. If a redeeming Oaktree Fund retracts, revokes or delays its Redemption or Direct Exchange, as applicable, a corresponding action shall be deemed to be taken with respect to the Management Co-Redemption, so that in all instances, until the Oaktree Complete Redemption Date, a Management Co-Redemption shall occur or not occur together with the Oaktree Redemption giving rise to such Management Co-Redemption. In connection with any Management Co-Redemption, Management Holdings agrees to take such actions and provide such cooperation (including as to the calculation of Redeemed Units, if applicable) as may be reasonably requested by the Company or the Corporation in connection with consummating such Management Co-Redemption. For the avoidance of doubt, the terms of </w:t>
      </w:r>
      <w:r>
        <w:rPr>
          <w:rFonts w:ascii="Times New Roman" w:hAnsi="Times New Roman"/>
          <w:sz w:val="20"/>
          <w:u w:val="single"/>
        </w:rPr>
        <w:t>Section 11.01(d)</w:t>
      </w:r>
      <w:r>
        <w:rPr>
          <w:rFonts w:ascii="Times New Roman" w:hAnsi="Times New Roman"/>
          <w:sz w:val="20"/>
        </w:rPr>
        <w:t xml:space="preserve"> and </w:t>
      </w:r>
      <w:r>
        <w:rPr>
          <w:rFonts w:ascii="Times New Roman" w:hAnsi="Times New Roman"/>
          <w:sz w:val="20"/>
          <w:u w:val="single"/>
        </w:rPr>
        <w:t>Section 11.01(e)</w:t>
      </w:r>
      <w:r>
        <w:rPr>
          <w:rFonts w:ascii="Times New Roman" w:hAnsi="Times New Roman"/>
          <w:sz w:val="20"/>
        </w:rPr>
        <w:t xml:space="preserve"> pertaining to Management Holdings Members shall not apply in the case of a Management Co-Redemption. </w:t>
      </w:r>
    </w:p>
    <w:p>
      <w:pPr>
        <w:pStyle w:val="TextBody"/>
        <w:bidi w:val="0"/>
        <w:spacing w:before="120" w:after="0"/>
        <w:jc w:val="left"/>
        <w:rPr>
          <w:rFonts w:ascii="Times New Roman" w:hAnsi="Times New Roman"/>
          <w:sz w:val="20"/>
        </w:rPr>
      </w:pPr>
      <w:r>
        <w:rPr>
          <w:rFonts w:ascii="Times New Roman" w:hAnsi="Times New Roman"/>
          <w:sz w:val="20"/>
        </w:rPr>
        <w:t xml:space="preserve">(c) The Corporation shall have the option (as determined solely by a majority of its directors who are disinterested) as provided in </w:t>
      </w:r>
      <w:r>
        <w:rPr>
          <w:rFonts w:ascii="Times New Roman" w:hAnsi="Times New Roman"/>
          <w:sz w:val="20"/>
          <w:u w:val="single"/>
        </w:rPr>
        <w:t>Section 11.02</w:t>
      </w:r>
      <w:r>
        <w:rPr>
          <w:rFonts w:ascii="Times New Roman" w:hAnsi="Times New Roman"/>
          <w:sz w:val="20"/>
        </w:rPr>
        <w:t xml:space="preserve"> to elect to have the Redeemed Units be redeemed in consideration for either a Share Settlement or a Cash Settlement; </w:t>
      </w:r>
      <w:r>
        <w:rPr>
          <w:rFonts w:ascii="Times New Roman" w:hAnsi="Times New Roman"/>
          <w:i/>
          <w:sz w:val="20"/>
        </w:rPr>
        <w:t xml:space="preserve">provided, </w:t>
      </w:r>
      <w:r>
        <w:rPr>
          <w:rFonts w:ascii="Times New Roman" w:hAnsi="Times New Roman"/>
          <w:sz w:val="20"/>
        </w:rPr>
        <w:t xml:space="preserve">for the avoidance of doubt, that the Corporation may elect to have the Redeemed Units be redeemed in consideration for a Cash Settlement only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that the Corporation has cash available from a Secondary Offering in an amount equal to at least the Redeemed Units Equivalent. The Corporation shall give written notice (the “</w:t>
      </w:r>
      <w:r>
        <w:rPr>
          <w:rFonts w:ascii="Times New Roman" w:hAnsi="Times New Roman"/>
          <w:b/>
          <w:i/>
          <w:sz w:val="20"/>
        </w:rPr>
        <w:t>Election Notice</w:t>
      </w:r>
      <w:r>
        <w:rPr>
          <w:rFonts w:ascii="Times New Roman" w:hAnsi="Times New Roman"/>
          <w:sz w:val="20"/>
        </w:rPr>
        <w:t xml:space="preserve">”) to the Company (with a copy to the applicable Redeeming Member) of such election within two (2) Business Days of receiving the Redemption Notice; </w:t>
      </w:r>
      <w:r>
        <w:rPr>
          <w:rFonts w:ascii="Times New Roman" w:hAnsi="Times New Roman"/>
          <w:i/>
          <w:sz w:val="20"/>
        </w:rPr>
        <w:t xml:space="preserve">provided, </w:t>
      </w:r>
      <w:r>
        <w:rPr>
          <w:rFonts w:ascii="Times New Roman" w:hAnsi="Times New Roman"/>
          <w:sz w:val="20"/>
        </w:rPr>
        <w:t xml:space="preserve">that if the Corporation does not timely deliver an Election Notice, the Corporation shall be deemed to have elected the Share Settlement method. If the Corporation elects a Share Settlement (including in connection with a Direct Exchange pursuant to </w:t>
      </w:r>
      <w:r>
        <w:rPr>
          <w:rFonts w:ascii="Times New Roman" w:hAnsi="Times New Roman"/>
          <w:sz w:val="20"/>
          <w:u w:val="single"/>
        </w:rPr>
        <w:t>Section 11.03</w:t>
      </w:r>
      <w:r>
        <w:rPr>
          <w:rFonts w:ascii="Times New Roman" w:hAnsi="Times New Roman"/>
          <w:sz w:val="20"/>
        </w:rPr>
        <w:t xml:space="preserve">), the Corporation shall deliver or cause to be delivered the number of shares of Class A Common Stock deliverable upon such Share Settlement as promptly as practicable (but not later than three (3) Business Days) after the Redemption Date, at the offices of the then-acting registrar and transfer agent of the shares of Class A Common Stock (or, if there is no then-acting registrar and transfer agent of Class A Common Stock, at the principal executive offices of the Corporation), registered in the name of the relevant Redeeming Member (or in such other name as is requested in writing by the Redeeming Member), in certificated or uncertificated form, as determined by the Corporation; </w:t>
      </w:r>
      <w:r>
        <w:rPr>
          <w:rFonts w:ascii="Times New Roman" w:hAnsi="Times New Roman"/>
          <w:i/>
          <w:sz w:val="20"/>
        </w:rPr>
        <w:t>provided</w:t>
      </w:r>
      <w:r>
        <w:rPr>
          <w:rFonts w:ascii="Times New Roman" w:hAnsi="Times New Roman"/>
          <w:sz w:val="20"/>
        </w:rPr>
        <w:t xml:space="preserve">, that to the extent the shares of Class A Common Stock are settled through the facilities of The Depository Trust Company, upon the written instruction of the Redeeming Member set forth in the Redemption Notice, the Corporation shall use its commercially reasonable efforts to deliver the shares of Class A Common Stock deliverable to such Redeeming Member through the facilities of The Depository Trust Company, to the account of the participant of The Depository Trust Company designated by such Redeeming Member by no later than the close of business on the Business Day immediately following the Redemption Date. Notwithstanding anything to the contrary in this Agreement, neither the Corporation nor the Company shall effectuate a Cash Settlement that is to be funded by a Secondary Offering unless the Corporation has authorized and consummated such Secondary Offering by no later than the Redemption Date for the purpose of satisfying such Cash Settlement. If for any reason the Corporation is unable to complete such Secondary Offering by the Redemption Date, then the applicable Redeemed Units shall instead be redeemed by Share Settlement, notwithstanding that the Corporation may have initially elected a Cash Settlement of such Redeemed Units. </w:t>
      </w:r>
    </w:p>
    <w:p>
      <w:pPr>
        <w:pStyle w:val="TextBody"/>
        <w:bidi w:val="0"/>
        <w:spacing w:before="120" w:after="0"/>
        <w:jc w:val="left"/>
        <w:rPr>
          <w:rFonts w:ascii="Times New Roman" w:hAnsi="Times New Roman"/>
          <w:sz w:val="20"/>
        </w:rPr>
      </w:pPr>
      <w:r>
        <w:rPr>
          <w:rFonts w:ascii="Times New Roman" w:hAnsi="Times New Roman"/>
          <w:sz w:val="20"/>
        </w:rPr>
        <w:t>(d) In the event the Corporation elects the Cash Settlement in connection with a Redemption, the Redeeming Member may retract its Redemption Notice by giving written notice (the “</w:t>
      </w:r>
      <w:r>
        <w:rPr>
          <w:rFonts w:ascii="Times New Roman" w:hAnsi="Times New Roman"/>
          <w:b/>
          <w:i/>
          <w:sz w:val="20"/>
        </w:rPr>
        <w:t>Retraction Notice</w:t>
      </w:r>
      <w:r>
        <w:rPr>
          <w:rFonts w:ascii="Times New Roman" w:hAnsi="Times New Roman"/>
          <w:sz w:val="20"/>
        </w:rPr>
        <w:t xml:space="preserve">”) to the Company (with a copy to the Corporation) within three (3) Business Days of delivery of the Corporation’s Election Notice for such Redemption. The timely delivery of a Retraction Notice shall terminate all of the Redeeming Member’s, the Company’s and the Corporation’s rights and obligations under this </w:t>
      </w:r>
      <w:r>
        <w:rPr>
          <w:rFonts w:ascii="Times New Roman" w:hAnsi="Times New Roman"/>
          <w:sz w:val="20"/>
          <w:u w:val="single"/>
        </w:rPr>
        <w:t>Section 11.01</w:t>
      </w:r>
      <w:r>
        <w:rPr>
          <w:rFonts w:ascii="Times New Roman" w:hAnsi="Times New Roman"/>
          <w:sz w:val="20"/>
        </w:rPr>
        <w:t xml:space="preserve"> arising from the Redemption Notice. In the event that Management Holdings is the Redeeming Member, any retraction that is permitted under this </w:t>
      </w:r>
      <w:r>
        <w:rPr>
          <w:rFonts w:ascii="Times New Roman" w:hAnsi="Times New Roman"/>
          <w:sz w:val="20"/>
          <w:u w:val="single"/>
        </w:rPr>
        <w:t>Section 11.01(d)</w:t>
      </w:r>
      <w:r>
        <w:rPr>
          <w:rFonts w:ascii="Times New Roman" w:hAnsi="Times New Roman"/>
          <w:sz w:val="20"/>
        </w:rPr>
        <w:t xml:space="preserve"> (subject to </w:t>
      </w:r>
      <w:r>
        <w:rPr>
          <w:rFonts w:ascii="Times New Roman" w:hAnsi="Times New Roman"/>
          <w:sz w:val="20"/>
          <w:u w:val="single"/>
        </w:rPr>
        <w:t>Section 11.01(b)</w:t>
      </w:r>
      <w:r>
        <w:rPr>
          <w:rFonts w:ascii="Times New Roman" w:hAnsi="Times New Roman"/>
          <w:sz w:val="20"/>
        </w:rPr>
        <w:t xml:space="preserve">) may be made or not made separately as to Redeemed Units that correspond to Corresponding Management Units held by different Management Holdings Members that have requested a Redemption pursuant to the terms of the Management Holdings Agreement, in which case the provisions of this </w:t>
      </w:r>
      <w:r>
        <w:rPr>
          <w:rFonts w:ascii="Times New Roman" w:hAnsi="Times New Roman"/>
          <w:sz w:val="20"/>
          <w:u w:val="single"/>
        </w:rPr>
        <w:t>Section 11.01(d)</w:t>
      </w:r>
      <w:r>
        <w:rPr>
          <w:rFonts w:ascii="Times New Roman" w:hAnsi="Times New Roman"/>
          <w:sz w:val="20"/>
        </w:rPr>
        <w:t xml:space="preserve"> shall be applied to reflect such partial retraction, </w:t>
      </w:r>
      <w:r>
        <w:rPr>
          <w:rFonts w:ascii="Times New Roman" w:hAnsi="Times New Roman"/>
          <w:i/>
          <w:sz w:val="20"/>
        </w:rPr>
        <w:t>mutatis mutandis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the event the Corporation elects a Share Settlement in connection with a Redemption, a Redeeming Member shall also be entitled to revoke its Redemption Notice or delay the consummation of a Redemption (or, subject to </w:t>
      </w:r>
      <w:r>
        <w:rPr>
          <w:rFonts w:ascii="Times New Roman" w:hAnsi="Times New Roman"/>
          <w:sz w:val="20"/>
          <w:u w:val="single"/>
        </w:rPr>
        <w:t>Section 11.01(b)</w:t>
      </w:r>
      <w:r>
        <w:rPr>
          <w:rFonts w:ascii="Times New Roman" w:hAnsi="Times New Roman"/>
          <w:sz w:val="20"/>
        </w:rPr>
        <w:t xml:space="preserve">, in the case of Management Holdings, revoke that portion of the Redemption Notice or delay that portion of the Redemption corresponding to the Corresponding Management Units held by any particular requesting Management Holdings Member pursuant to the terms of the Management Holdings Agreement) if any of the following conditions exists: </w:t>
      </w:r>
    </w:p>
    <w:p>
      <w:pPr>
        <w:pStyle w:val="TextBody"/>
        <w:bidi w:val="0"/>
        <w:spacing w:before="120" w:after="0"/>
        <w:jc w:val="left"/>
        <w:rPr>
          <w:rFonts w:ascii="Times New Roman" w:hAnsi="Times New Roman"/>
          <w:sz w:val="20"/>
        </w:rPr>
      </w:pPr>
      <w:r>
        <w:rPr>
          <w:rFonts w:ascii="Times New Roman" w:hAnsi="Times New Roman"/>
          <w:sz w:val="20"/>
        </w:rPr>
        <w:t xml:space="preserve">(i) any registration statement pursuant to which the resale of the Class A Common Stock to be registered for such Redeeming Member (or Corresponding Management Holdings Member) at or immediately following the consummation of the Redemption shall have ceased to be effective pursuant to any action or inaction by the SEC or no such resale registration statement has yet become effective; </w:t>
      </w:r>
    </w:p>
    <w:p>
      <w:pPr>
        <w:pStyle w:val="TextBody"/>
        <w:bidi w:val="0"/>
        <w:spacing w:before="120" w:after="0"/>
        <w:jc w:val="left"/>
        <w:rPr>
          <w:rFonts w:ascii="Times New Roman" w:hAnsi="Times New Roman"/>
          <w:sz w:val="20"/>
        </w:rPr>
      </w:pPr>
      <w:r>
        <w:rPr>
          <w:rFonts w:ascii="Times New Roman" w:hAnsi="Times New Roman"/>
          <w:sz w:val="20"/>
        </w:rPr>
        <w:t xml:space="preserve">(ii) the Corporation shall have failed to cause any related prospectus to be supplemented by any required prospectus supplement necessary to effect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(iii) the Corporation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 </w:t>
      </w:r>
    </w:p>
    <w:p>
      <w:pPr>
        <w:pStyle w:val="TextBody"/>
        <w:bidi w:val="0"/>
        <w:spacing w:before="120" w:after="0"/>
        <w:jc w:val="left"/>
        <w:rPr>
          <w:rFonts w:ascii="Times New Roman" w:hAnsi="Times New Roman"/>
          <w:sz w:val="20"/>
        </w:rPr>
      </w:pPr>
      <w:r>
        <w:rPr>
          <w:rFonts w:ascii="Times New Roman" w:hAnsi="Times New Roman"/>
          <w:sz w:val="20"/>
        </w:rPr>
        <w:t xml:space="preserve">(iv) the Redeeming Member (or Corresponding Management Holdings Member) is in possession of any material non-public information concerning the Corporation, the receipt of which results in such Redeeming Member (or Corresponding Management Holdings Member) being prohibited or restricted from selling Class A Common Stock at or immediately following the Redemption without disclosure of such information (and the Corporation does not permit disclosure of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(v) any stop order relating to the registration statement pursuant to which the Class A Common Stock was to be registered by such Redeeming Member (or Corresponding Management Holdings Member) at or immediately following the Redemption shall have been issued by the SEC; </w:t>
      </w:r>
    </w:p>
    <w:p>
      <w:pPr>
        <w:pStyle w:val="TextBody"/>
        <w:bidi w:val="0"/>
        <w:spacing w:before="120" w:after="0"/>
        <w:jc w:val="left"/>
        <w:rPr>
          <w:rFonts w:ascii="Times New Roman" w:hAnsi="Times New Roman"/>
          <w:sz w:val="20"/>
        </w:rPr>
      </w:pPr>
      <w:r>
        <w:rPr>
          <w:rFonts w:ascii="Times New Roman" w:hAnsi="Times New Roman"/>
          <w:sz w:val="20"/>
        </w:rPr>
        <w:t xml:space="preserve">(vi) there shall have occurred a material disruption in the securities markets generally or in the market or markets in which the Class A Common Stock is then traded; </w:t>
      </w:r>
    </w:p>
    <w:p>
      <w:pPr>
        <w:pStyle w:val="TextBody"/>
        <w:bidi w:val="0"/>
        <w:spacing w:before="120" w:after="0"/>
        <w:jc w:val="left"/>
        <w:rPr>
          <w:rFonts w:ascii="Times New Roman" w:hAnsi="Times New Roman"/>
          <w:sz w:val="20"/>
        </w:rPr>
      </w:pPr>
      <w:r>
        <w:rPr>
          <w:rFonts w:ascii="Times New Roman" w:hAnsi="Times New Roman"/>
          <w:sz w:val="20"/>
        </w:rPr>
        <w:t xml:space="preserve">(vii) there shall be in effect an injunction, a restraining order or a decree of any nature of any Governmental Entity that restrains or prohibits the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Corporation shall have failed to comply in any material respect with its obligations under the Registration Rights Agreement, and such failure shall have affected the ability of such Redeeming Member (or Corresponding Management Holdings Member) to consummate the resale of Class A Common Stock to be received upon such Redemption pursuant to an effective registration statement; or </w:t>
      </w:r>
    </w:p>
    <w:p>
      <w:pPr>
        <w:pStyle w:val="TextBody"/>
        <w:bidi w:val="0"/>
        <w:spacing w:before="120" w:after="0"/>
        <w:jc w:val="left"/>
        <w:rPr>
          <w:rFonts w:ascii="Times New Roman" w:hAnsi="Times New Roman"/>
          <w:sz w:val="20"/>
        </w:rPr>
      </w:pPr>
      <w:r>
        <w:rPr>
          <w:rFonts w:ascii="Times New Roman" w:hAnsi="Times New Roman"/>
          <w:sz w:val="20"/>
        </w:rPr>
        <w:t xml:space="preserve">(ix) the Redemption Date would occur three (3) Business Days or less prior to, or during, a Black-Out Period. </w:t>
      </w:r>
    </w:p>
    <w:p>
      <w:pPr>
        <w:pStyle w:val="TextBody"/>
        <w:bidi w:val="0"/>
        <w:spacing w:before="240" w:after="0"/>
        <w:jc w:val="left"/>
        <w:rPr>
          <w:rFonts w:ascii="Times New Roman" w:hAnsi="Times New Roman"/>
          <w:sz w:val="20"/>
        </w:rPr>
      </w:pPr>
      <w:r>
        <w:rPr>
          <w:rFonts w:ascii="Times New Roman" w:hAnsi="Times New Roman"/>
          <w:sz w:val="20"/>
        </w:rPr>
        <w:t xml:space="preserve">If a Redeeming Member delays the consummation of a Redemption pursuant to this </w:t>
      </w:r>
      <w:r>
        <w:rPr>
          <w:rFonts w:ascii="Times New Roman" w:hAnsi="Times New Roman"/>
          <w:sz w:val="20"/>
          <w:u w:val="single"/>
        </w:rPr>
        <w:t>Section 11.01(e)</w:t>
      </w:r>
      <w:r>
        <w:rPr>
          <w:rFonts w:ascii="Times New Roman" w:hAnsi="Times New Roman"/>
          <w:sz w:val="20"/>
        </w:rPr>
        <w:t xml:space="preserve">, the Redemption Date shall occur on the fifth (5th) Business Day following the date on which the condition(s) giving rise to such delay cease to exist (or such earlier day as the Corporation, the Company and such Redeeming Member may agree in writing). </w:t>
      </w:r>
    </w:p>
    <w:p>
      <w:pPr>
        <w:pStyle w:val="TextBody"/>
        <w:bidi w:val="0"/>
        <w:spacing w:before="120" w:after="0"/>
        <w:jc w:val="left"/>
        <w:rPr>
          <w:rFonts w:ascii="Times New Roman" w:hAnsi="Times New Roman"/>
          <w:sz w:val="20"/>
        </w:rPr>
      </w:pPr>
      <w:r>
        <w:rPr>
          <w:rFonts w:ascii="Times New Roman" w:hAnsi="Times New Roman"/>
          <w:sz w:val="20"/>
        </w:rPr>
        <w:t xml:space="preserve">(f) 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w:t>
      </w:r>
      <w:r>
        <w:rPr>
          <w:rFonts w:ascii="Times New Roman" w:hAnsi="Times New Roman"/>
          <w:i/>
          <w:sz w:val="20"/>
        </w:rPr>
        <w:t xml:space="preserve">provided, however, </w:t>
      </w:r>
      <w:r>
        <w:rPr>
          <w:rFonts w:ascii="Times New Roman" w:hAnsi="Times New Roman"/>
          <w:sz w:val="20"/>
        </w:rPr>
        <w:t xml:space="preserve">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p>
    <w:p>
      <w:pPr>
        <w:pStyle w:val="TextBody"/>
        <w:bidi w:val="0"/>
        <w:spacing w:before="120" w:after="0"/>
        <w:jc w:val="left"/>
        <w:rPr>
          <w:rFonts w:ascii="Times New Roman" w:hAnsi="Times New Roman"/>
          <w:sz w:val="20"/>
        </w:rPr>
      </w:pPr>
      <w:r>
        <w:rPr>
          <w:rFonts w:ascii="Times New Roman" w:hAnsi="Times New Roman"/>
          <w:sz w:val="20"/>
        </w:rPr>
        <w:t xml:space="preserve">(g) In the case of a Share Settlement, in the event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to the contrary contained herein, neither the Company nor the Corporation shall be obligated to effectuate a Redemption if such Redemption could (as determined in the sole discretion of the Manager (which determination, prior to the Oaktree Complete Redemption Date, shall require the consent of the Oaktree Representative)) cause the Company to be treated as a “publicly traded partnership” or to be taxed as a corporation pursuant to Section 7704 of the Code or successor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Election and Contribution of the Corporation</w:t>
      </w:r>
      <w:r>
        <w:rPr>
          <w:rFonts w:ascii="Times New Roman" w:hAnsi="Times New Roman"/>
          <w:sz w:val="20"/>
        </w:rPr>
        <w:t xml:space="preserve">. Unless the Redeeming Member has timely delivered a Retraction Notice as provided in </w:t>
      </w:r>
      <w:r>
        <w:rPr>
          <w:rFonts w:ascii="Times New Roman" w:hAnsi="Times New Roman"/>
          <w:sz w:val="20"/>
          <w:u w:val="single"/>
        </w:rPr>
        <w:t>Section 11.01(d)</w:t>
      </w:r>
      <w:r>
        <w:rPr>
          <w:rFonts w:ascii="Times New Roman" w:hAnsi="Times New Roman"/>
          <w:sz w:val="20"/>
        </w:rPr>
        <w:t xml:space="preserve">, or has revoked or delayed a Redemption as provided in </w:t>
      </w:r>
      <w:r>
        <w:rPr>
          <w:rFonts w:ascii="Times New Roman" w:hAnsi="Times New Roman"/>
          <w:sz w:val="20"/>
          <w:u w:val="single"/>
        </w:rPr>
        <w:t>Section 11.01(e)</w:t>
      </w:r>
      <w:r>
        <w:rPr>
          <w:rFonts w:ascii="Times New Roman" w:hAnsi="Times New Roman"/>
          <w:sz w:val="20"/>
        </w:rPr>
        <w:t xml:space="preserve">, subject to </w:t>
      </w:r>
      <w:r>
        <w:rPr>
          <w:rFonts w:ascii="Times New Roman" w:hAnsi="Times New Roman"/>
          <w:sz w:val="20"/>
          <w:u w:val="single"/>
        </w:rPr>
        <w:t>Section 11.03</w:t>
      </w:r>
      <w:r>
        <w:rPr>
          <w:rFonts w:ascii="Times New Roman" w:hAnsi="Times New Roman"/>
          <w:sz w:val="20"/>
        </w:rPr>
        <w:t xml:space="preserve"> on the Redemption Date (to be effective immediately prior to the close of business on the Redemption Date) (i) the Corporation shall make (directly or indirectly through one or more of its Subsidiaries) a Capital Contribution to the Company (in the form of the Share Settlement or the Cash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determined by the Corporation in accordance with </w:t>
      </w:r>
      <w:r>
        <w:rPr>
          <w:rFonts w:ascii="Times New Roman" w:hAnsi="Times New Roman"/>
          <w:sz w:val="20"/>
          <w:u w:val="single"/>
        </w:rPr>
        <w:t>Section 11.01(c)</w:t>
      </w:r>
      <w:r>
        <w:rPr>
          <w:rFonts w:ascii="Times New Roman" w:hAnsi="Times New Roman"/>
          <w:sz w:val="20"/>
        </w:rPr>
        <w:t xml:space="preserve">) and (ii) in the event of a Share Settlement, the Company shall issue to the Corporation (or one or more of its Subsidiaries, as applicable) a number of Common Units equal to the number of Redeemed Units surrendered by the Redeeming Member. Notwithstanding any other provisions of this Agreement to the contrary, but subject to </w:t>
      </w:r>
      <w:r>
        <w:rPr>
          <w:rFonts w:ascii="Times New Roman" w:hAnsi="Times New Roman"/>
          <w:sz w:val="20"/>
          <w:u w:val="single"/>
        </w:rPr>
        <w:t>Section 11.03</w:t>
      </w:r>
      <w:r>
        <w:rPr>
          <w:rFonts w:ascii="Times New Roman" w:hAnsi="Times New Roman"/>
          <w:sz w:val="20"/>
        </w:rPr>
        <w:t xml:space="preserve">, in the event that the Corporation elects a Cash Settlement, the Corporation shall only be obligated to contribute (directly or indirectly through one or more of its Subsidiaries) to the Company an amount in respect of such Cash Settlement equal to the Redeemed Units Equivalent with respect to such Cash Settlement, which in no event shall exceed the amount actually paid by the Company to the Redeeming Member as the Cash Settlement. For the avoidance of doubt, any Capital Contribution made by the Corporation (directly or indirectly through one or more of its Subsidiaries) pursuant to this </w:t>
      </w:r>
      <w:r>
        <w:rPr>
          <w:rFonts w:ascii="Times New Roman" w:hAnsi="Times New Roman"/>
          <w:sz w:val="20"/>
          <w:u w:val="single"/>
        </w:rPr>
        <w:t>Section 11.02</w:t>
      </w:r>
      <w:r>
        <w:rPr>
          <w:rFonts w:ascii="Times New Roman" w:hAnsi="Times New Roman"/>
          <w:sz w:val="20"/>
        </w:rPr>
        <w:t xml:space="preserve"> must be paid by the Company to the Redeeming Member and may not be used by the Company for any other purpose. The timely delivery of a Retraction Notice shall terminate all of the Company’s and the Corporation’s rights and obligations under this </w:t>
      </w:r>
      <w:r>
        <w:rPr>
          <w:rFonts w:ascii="Times New Roman" w:hAnsi="Times New Roman"/>
          <w:sz w:val="20"/>
          <w:u w:val="single"/>
        </w:rPr>
        <w:t>Section 11.02</w:t>
      </w:r>
      <w:r>
        <w:rPr>
          <w:rFonts w:ascii="Times New Roman" w:hAnsi="Times New Roman"/>
          <w:sz w:val="20"/>
        </w:rPr>
        <w:t xml:space="preserve"> arising from the Redemption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Direct Exchange Right of the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w:t>
      </w:r>
      <w:r>
        <w:rPr>
          <w:rFonts w:ascii="Times New Roman" w:hAnsi="Times New Roman"/>
          <w:sz w:val="20"/>
          <w:u w:val="single"/>
        </w:rPr>
        <w:t>Article XI</w:t>
      </w:r>
      <w:r>
        <w:rPr>
          <w:rFonts w:ascii="Times New Roman" w:hAnsi="Times New Roman"/>
          <w:sz w:val="20"/>
        </w:rPr>
        <w:t xml:space="preserve"> (save for the limitations set forth in </w:t>
      </w:r>
      <w:r>
        <w:rPr>
          <w:rFonts w:ascii="Times New Roman" w:hAnsi="Times New Roman"/>
          <w:sz w:val="20"/>
          <w:u w:val="single"/>
        </w:rPr>
        <w:t>Section 11.01(c)</w:t>
      </w:r>
      <w:r>
        <w:rPr>
          <w:rFonts w:ascii="Times New Roman" w:hAnsi="Times New Roman"/>
          <w:sz w:val="20"/>
        </w:rPr>
        <w:t xml:space="preserve">regarding the Corporation’s option to select the Share Settlement or the Cash Settlement, and without limitation to the rights of the Members under </w:t>
      </w:r>
      <w:r>
        <w:rPr>
          <w:rFonts w:ascii="Times New Roman" w:hAnsi="Times New Roman"/>
          <w:sz w:val="20"/>
          <w:u w:val="single"/>
        </w:rPr>
        <w:t>Section 11.01</w:t>
      </w:r>
      <w:r>
        <w:rPr>
          <w:rFonts w:ascii="Times New Roman" w:hAnsi="Times New Roman"/>
          <w:sz w:val="20"/>
        </w:rPr>
        <w:t>, including the right to revoke a Redemption Notice), the Corporation may, in its sole and absolute discretion (as determined solely by a majority of its directors who are disinterested) (subject to the timing limitations set forth on such discretion in</w:t>
      </w:r>
      <w:r>
        <w:rPr>
          <w:rFonts w:ascii="Times New Roman" w:hAnsi="Times New Roman"/>
          <w:sz w:val="20"/>
          <w:u w:val="single"/>
        </w:rPr>
        <w:t xml:space="preserve"> Section 11.01(c)</w:t>
      </w:r>
      <w:r>
        <w:rPr>
          <w:rFonts w:ascii="Times New Roman" w:hAnsi="Times New Roman"/>
          <w:sz w:val="20"/>
        </w:rPr>
        <w:t>), elect to effect on the Redemption Date the exchange of Redeemed Units for the Share Settlement or the Cash Settlement, as the case may be, through a direct exchange of such Redeemed Units and the Share Settlement or the Cash Settlement, as applicable, between the Redeeming Member and the Corporation (or a Subsidiary of the Corporation) (a “</w:t>
      </w:r>
      <w:r>
        <w:rPr>
          <w:rFonts w:ascii="Times New Roman" w:hAnsi="Times New Roman"/>
          <w:b/>
          <w:i/>
          <w:sz w:val="20"/>
        </w:rPr>
        <w:t>Direct Exchange</w:t>
      </w:r>
      <w:r>
        <w:rPr>
          <w:rFonts w:ascii="Times New Roman" w:hAnsi="Times New Roman"/>
          <w:sz w:val="20"/>
        </w:rPr>
        <w:t xml:space="preserve">”) (rather than contributing (directly or indirectly through one or more of its Subsidiaries) the Share Settlement or the Cash Settlement, as the case may be, to the Company in accordance with </w:t>
      </w:r>
      <w:r>
        <w:rPr>
          <w:rFonts w:ascii="Times New Roman" w:hAnsi="Times New Roman"/>
          <w:sz w:val="20"/>
          <w:u w:val="single"/>
        </w:rPr>
        <w:t>Section 11.02</w:t>
      </w:r>
      <w:r>
        <w:rPr>
          <w:rFonts w:ascii="Times New Roman" w:hAnsi="Times New Roman"/>
          <w:sz w:val="20"/>
        </w:rPr>
        <w:t xml:space="preserve"> for purposes of the Company redeeming the Redeemed Units from the Redeeming Member in consideration of the Share Settlement or the Cash Settlement, as applicable). Upon such Direct Exchange pursuant to this </w:t>
      </w:r>
      <w:r>
        <w:rPr>
          <w:rFonts w:ascii="Times New Roman" w:hAnsi="Times New Roman"/>
          <w:sz w:val="20"/>
          <w:u w:val="single"/>
        </w:rPr>
        <w:t>Section 11.03</w:t>
      </w:r>
      <w:r>
        <w:rPr>
          <w:rFonts w:ascii="Times New Roman" w:hAnsi="Times New Roman"/>
          <w:sz w:val="20"/>
        </w:rPr>
        <w:t xml:space="preserve">, the Corporation (or a Subsidiary of the Corporation) shall acquire the Redeemed Units and may contribute such Redeemed Units to one or more of the Corporation’s Subsidiaries, and the Corporation or such Subsidiary or Subsidiaries shall be treated for all purposes of this Agreement as the owner of such Units. </w:t>
      </w:r>
    </w:p>
    <w:p>
      <w:pPr>
        <w:pStyle w:val="TextBody"/>
        <w:bidi w:val="0"/>
        <w:spacing w:before="120" w:after="0"/>
        <w:jc w:val="left"/>
        <w:rPr>
          <w:rFonts w:ascii="Times New Roman" w:hAnsi="Times New Roman"/>
          <w:sz w:val="20"/>
        </w:rPr>
      </w:pPr>
      <w:r>
        <w:rPr>
          <w:rFonts w:ascii="Times New Roman" w:hAnsi="Times New Roman"/>
          <w:sz w:val="20"/>
        </w:rPr>
        <w:t>(b) The Corporation may, at any time prior to a Redemption Date (including after delivery of an Election Notice pursuant to</w:t>
      </w:r>
      <w:r>
        <w:rPr>
          <w:rFonts w:ascii="Times New Roman" w:hAnsi="Times New Roman"/>
          <w:sz w:val="20"/>
          <w:u w:val="single"/>
        </w:rPr>
        <w:t xml:space="preserve"> Section 11.01(c)</w:t>
      </w:r>
      <w:r>
        <w:rPr>
          <w:rFonts w:ascii="Times New Roman" w:hAnsi="Times New Roman"/>
          <w:sz w:val="20"/>
        </w:rPr>
        <w:t>), deliver written notice (an “</w:t>
      </w:r>
      <w:r>
        <w:rPr>
          <w:rFonts w:ascii="Times New Roman" w:hAnsi="Times New Roman"/>
          <w:b/>
          <w:i/>
          <w:sz w:val="20"/>
        </w:rPr>
        <w:t>Exchange Election Notice</w:t>
      </w:r>
      <w:r>
        <w:rPr>
          <w:rFonts w:ascii="Times New Roman" w:hAnsi="Times New Roman"/>
          <w:sz w:val="20"/>
        </w:rPr>
        <w:t xml:space="preserve">”) to the Company and the Redeeming Member setting forth its election to exercise its right to consummate a Direct Exchange; </w:t>
      </w:r>
      <w:r>
        <w:rPr>
          <w:rFonts w:ascii="Times New Roman" w:hAnsi="Times New Roman"/>
          <w:i/>
          <w:sz w:val="20"/>
        </w:rPr>
        <w:t>provided</w:t>
      </w:r>
      <w:r>
        <w:rPr>
          <w:rFonts w:ascii="Times New Roman" w:hAnsi="Times New Roman"/>
          <w:sz w:val="20"/>
        </w:rPr>
        <w:t xml:space="preserve">, that such election is subject to the limitations set forth in </w:t>
      </w:r>
      <w:r>
        <w:rPr>
          <w:rFonts w:ascii="Times New Roman" w:hAnsi="Times New Roman"/>
          <w:sz w:val="20"/>
          <w:u w:val="single"/>
        </w:rPr>
        <w:t>Section 11.01(c)</w:t>
      </w:r>
      <w:r>
        <w:rPr>
          <w:rFonts w:ascii="Times New Roman" w:hAnsi="Times New Roman"/>
          <w:sz w:val="20"/>
        </w:rPr>
        <w:t xml:space="preserve">and does not unreasonably prejudice the ability of the parties to consummate a Redemption or Direct Exchange on the Redemption Date. An Exchange Election Notice may be revoked by the Corporation at any time; </w:t>
      </w:r>
      <w:r>
        <w:rPr>
          <w:rFonts w:ascii="Times New Roman" w:hAnsi="Times New Roman"/>
          <w:i/>
          <w:sz w:val="20"/>
        </w:rPr>
        <w:t>provided</w:t>
      </w:r>
      <w:r>
        <w:rPr>
          <w:rFonts w:ascii="Times New Roman" w:hAnsi="Times New Roman"/>
          <w:sz w:val="20"/>
        </w:rPr>
        <w:t xml:space="preserve">, that any such revocation does 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provided by this </w:t>
      </w:r>
      <w:r>
        <w:rPr>
          <w:rFonts w:ascii="Times New Roman" w:hAnsi="Times New Roman"/>
          <w:sz w:val="20"/>
          <w:u w:val="single"/>
        </w:rPr>
        <w:t>Section 11.03</w:t>
      </w:r>
      <w:r>
        <w:rPr>
          <w:rFonts w:ascii="Times New Roman" w:hAnsi="Times New Roman"/>
          <w:sz w:val="20"/>
        </w:rPr>
        <w:t xml:space="preserve">, a Direct Exchange shall be consummated pursuant to the same timeframe as the relevant Redemption would have been consummated if the Corporation had not delivered an Exchange Election Notice and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Redeeming Member shall transfer and surrender, free and clear of all liens and encumbrances (x) the Redeemed Units and (y) a number of shares of Class B Common Stock (together with any Corresponding Rights) equal to the number of Redeemed Units, to the extent applicable, in each case, to the Corporation (or a Subsidiary of the Corporation), who may contribute such Redeemed Units to one or more of the Corporation’s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the Corporation (or a Subsidiary of the Corporation) shall (x) issue or pay to the Redeeming Member the Share Settlement or the Cash Settlement, as applicable, and (y) cancel and retire for no consideration the shares of Class B Common Stock (together with any Corresponding Rights) that were Transferred to the Corporation (or a Subsidiary of the Corporation) pursuant to </w:t>
      </w:r>
      <w:r>
        <w:rPr>
          <w:rFonts w:ascii="Times New Roman" w:hAnsi="Times New Roman"/>
          <w:sz w:val="20"/>
          <w:u w:val="single"/>
        </w:rPr>
        <w:t>Section 11.03(c)(i)(y)</w:t>
      </w:r>
      <w:r>
        <w:rPr>
          <w:rFonts w:ascii="Times New Roman" w:hAnsi="Times New Roman"/>
          <w:sz w:val="20"/>
        </w:rPr>
        <w:t xml:space="preserve"> above; and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shall (x) register the Corporation (or one or more of its Subsidiaries, as applicable) as the owner of the Redeemed Units and (y) if the Units are certificated, issue to the Redeeming Member a certificate for a number of Common Units equal to the difference (if any) between the number of Common Units evidenced by the certificate surrendered by the Redeeming Member pursuant to </w:t>
      </w:r>
      <w:r>
        <w:rPr>
          <w:rFonts w:ascii="Times New Roman" w:hAnsi="Times New Roman"/>
          <w:sz w:val="20"/>
          <w:u w:val="single"/>
        </w:rPr>
        <w:t>Section 11.03(c)(i)(x)</w:t>
      </w:r>
      <w:r>
        <w:rPr>
          <w:rFonts w:ascii="Times New Roman" w:hAnsi="Times New Roman"/>
          <w:sz w:val="20"/>
        </w:rPr>
        <w:t xml:space="preserve"> and the Redeemed Units, and issue to the Corporation a certificate for the number of Redeemed Units.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Reservation of Shares of Class A Common Stock; Listing; Certificate of the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all times the Corporation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w:t>
      </w:r>
      <w:r>
        <w:rPr>
          <w:rFonts w:ascii="Times New Roman" w:hAnsi="Times New Roman"/>
          <w:i/>
          <w:sz w:val="20"/>
        </w:rPr>
        <w:t>provided</w:t>
      </w:r>
      <w:r>
        <w:rPr>
          <w:rFonts w:ascii="Times New Roman" w:hAnsi="Times New Roman"/>
          <w:sz w:val="20"/>
        </w:rPr>
        <w:t xml:space="preserve">, that nothing contained herein shall be construed to preclude the Corporation from satisfying its obligations in respect of any such Share Settlement pursuant to a Redemption or Direct Exchange by delivery of purchased Class A Common Stock (which may or may not be held in the treasury of the Corporation) or by way of Cash Settlement. The Corporation shall deliver Class A Common Stock that has been registered under the Securities Act with respect to any Share Settlement pursuant to a Redemption or Direct Exchange to the extent a registration statement is effective and available with respect to such shares; </w:t>
      </w:r>
      <w:r>
        <w:rPr>
          <w:rFonts w:ascii="Times New Roman" w:hAnsi="Times New Roman"/>
          <w:i/>
          <w:sz w:val="20"/>
        </w:rPr>
        <w:t>provided</w:t>
      </w:r>
      <w:r>
        <w:rPr>
          <w:rFonts w:ascii="Times New Roman" w:hAnsi="Times New Roman"/>
          <w:sz w:val="20"/>
        </w:rPr>
        <w:t xml:space="preserve">, all such unregistered shares of Class A Common Stock (if any) shall be entitled to the registration rights set forth in the Registration Rights Agreement if the holders thereof are party to the Registration Rights Agreement and have such rights thereunder. The Corporation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commercially reasonable efforts to list the Class A Common Stock required to be delivered upon any such Share Settlement pursuant to a Redemption or Direct Exchange prior to such delivery upon each national securities exchange upon which the outstanding shares of Class A Common Stock are listed at the time of such Share Settlement pursuant to a Redemption or Direct Exchange (it being understood that any such shares may be subject to transfer restrictions under applicable securities Laws). The Corporation covenants that all shares of Class A Common Stock issued in connection with a Share Settlement pursuant to a Redemption or Direct Exchange will, upon issuance, be validly issued, fully paid and non-assessable. The provisions of this </w:t>
      </w:r>
      <w:r>
        <w:rPr>
          <w:rFonts w:ascii="Times New Roman" w:hAnsi="Times New Roman"/>
          <w:sz w:val="20"/>
          <w:u w:val="single"/>
        </w:rPr>
        <w:t>Article XI</w:t>
      </w:r>
      <w:r>
        <w:rPr>
          <w:rFonts w:ascii="Times New Roman" w:hAnsi="Times New Roman"/>
          <w:sz w:val="20"/>
        </w:rPr>
        <w:t xml:space="preserve"> shall be interpreted and applied in a manner consistent with any corresponding provisions of the Corporation’s certificate of incorporation (if any). </w:t>
      </w:r>
    </w:p>
    <w:p>
      <w:pPr>
        <w:pStyle w:val="TextBody"/>
        <w:bidi w:val="0"/>
        <w:spacing w:before="120" w:after="0"/>
        <w:jc w:val="left"/>
        <w:rPr>
          <w:rFonts w:ascii="Times New Roman" w:hAnsi="Times New Roman"/>
          <w:sz w:val="20"/>
        </w:rPr>
      </w:pPr>
      <w:r>
        <w:rPr>
          <w:rFonts w:ascii="Times New Roman" w:hAnsi="Times New Roman"/>
          <w:sz w:val="20"/>
        </w:rPr>
        <w:t xml:space="preserve">(b) Prior to any Redemption or Direct Exchange effected pursuant to this Agreement, the Corporation shall take all such steps as may be required to cause to qualify for exemption under Rule 16b-3(d) or (e), as applicable, under the Exchange Act, and to be exempt for purposes of Section 16(b) under the Exchange Act, any acquisitions from, or dispositions to, the Corporation of equity securities of the Corporation (including derivative securities with respect thereto) and any securities that may be deemed to be equity securities or derivative securities of the Corporation for such purposes that result from the transactions contemplated by this Agreement, by each officer or director of the Corporation, including any director by deputization. The authorizing resolutions shall be approved by either the Corporate Board or a committee thereof composed solely of two or more Non-Employee Directors (as defined in Rule 16b-3) of the Corporation with the authorizing resolutions specifying the name of each such director whose acquisition or disposition of securities is to be exempted and the number of securities that may be acquired and disposed of by each such Person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Effect of Exercise of Redemption or Direct Exchange</w:t>
      </w:r>
      <w:r>
        <w:rPr>
          <w:rFonts w:ascii="Times New Roman" w:hAnsi="Times New Roman"/>
          <w:sz w:val="20"/>
        </w:rPr>
        <w:t xml:space="preserve">. This Agreement shall continue notwithstanding the consummation of a Redemption or Direct Exchange by a Member and all rights set forth herein shall continue in effect with respect to the remaining Members and, to the extent the Redeeming Member has a remaining Unit following such Redemption or Direct Exchange, the Redeeming Member. No Redemption or Direct Exchange shall relieve a Redeeming Member, the Company or the Corporation of any prior breach of this Agreement by such Redeeming Member, the Company or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Tax Treatment</w:t>
      </w:r>
      <w:r>
        <w:rPr>
          <w:rFonts w:ascii="Times New Roman" w:hAnsi="Times New Roman"/>
          <w:sz w:val="20"/>
        </w:rPr>
        <w:t xml:space="preserve">. Unless otherwise required by applicable Law, the parties hereto acknowledge and agree that a Redemption or a Direct Exchange, as the case may be, shall be treated as a “disguised sale” of partnership interests within the meaning of Section 707 of the Code (in the case of a Redemption) or a sale within the meaning of Section 1001 of the Code (in the case of a Direct Exchange), in each case, between the Corporation (or a Subsidiary of the Corporation) and the Redeeming Member for U.S. federal and applicable state and local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Management Holdings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By virtue of their ownership of Corresponding Management Units, Management Holdings Members indirectly hold interests in the Company. In applying the provisions of this Agreement (other than </w:t>
      </w:r>
      <w:r>
        <w:rPr>
          <w:rFonts w:ascii="Times New Roman" w:hAnsi="Times New Roman"/>
          <w:sz w:val="20"/>
          <w:u w:val="single"/>
        </w:rPr>
        <w:t>Section 11.01(b)</w:t>
      </w:r>
      <w:r>
        <w:rPr>
          <w:rFonts w:ascii="Times New Roman" w:hAnsi="Times New Roman"/>
          <w:sz w:val="20"/>
        </w:rPr>
        <w:t xml:space="preserve"> prior to the Oaktree Complete Redemption Date) and in order to determine equitably the rights and obligations of Management Holdings and the Management Holdings Members, the Manager, the Company, the Corporation and/or Management Holdings may treat (a) the Common Units held by Management Holdings as if they were hypothetically directly held by the Management Holdings Members having an indirect economic interest therein and (b) any Management Holdings Member as if it were hypothetically a Member with a corresponding interest in a proportionate portion of the Common Units owned by such Management Holdings Member. Accordingly, with respect to Management Holdings, upon (i) any issuance of additional Units or other Equity Securities of the Company to Management Holdings for the benefit of any Management Holdings Member (or the occurrence of any event that causes the repurchase, redemption or forfeiture of any Units), (ii) the Transfer of Units by Management Holdings or (iii) any merger, consolidation, sale of all or substantially all of the assets of the Company, issuance of debt or any other similar capital transaction of the Company (each, a “</w:t>
      </w:r>
      <w:r>
        <w:rPr>
          <w:rFonts w:ascii="Times New Roman" w:hAnsi="Times New Roman"/>
          <w:b/>
          <w:i/>
          <w:sz w:val="20"/>
        </w:rPr>
        <w:t>Management Holdings Action</w:t>
      </w:r>
      <w:r>
        <w:rPr>
          <w:rFonts w:ascii="Times New Roman" w:hAnsi="Times New Roman"/>
          <w:sz w:val="20"/>
        </w:rPr>
        <w:t xml:space="preserve">”), Management Holdings and/or the Manager, as applicable, may take any action or make any adjustment with respect to the Corresponding Management Units to replicate, as closely as possible, such Management Holdings Action (including the effects thereof). Likewise, if Management Holdings takes any action with respect to its own securities that would be a Management Holdings Action if such action were taken by the Company with respect to its securities (to the extent permitted by this Agreement and the Management Holdings Agreement), the Manager may take any action or make any adjustment with respect to the Common Units to replicate, as closely as possible, such action (including the effects thereof). The Members shall take all actions reasonably requested by the Manager in connection with any Management Holdings Action and this </w:t>
      </w:r>
      <w:r>
        <w:rPr>
          <w:rFonts w:ascii="Times New Roman" w:hAnsi="Times New Roman"/>
          <w:sz w:val="20"/>
          <w:u w:val="single"/>
        </w:rPr>
        <w:t>Section 11.07(a)</w:t>
      </w:r>
      <w:r>
        <w:rPr>
          <w:rFonts w:ascii="Times New Roman" w:hAnsi="Times New Roman"/>
          <w:sz w:val="20"/>
        </w:rPr>
        <w:t xml:space="preserve"> to the extent not inconsistent with this Agreement. For the avoidance of doubt, nothing in this </w:t>
      </w:r>
      <w:r>
        <w:rPr>
          <w:rFonts w:ascii="Times New Roman" w:hAnsi="Times New Roman"/>
          <w:sz w:val="20"/>
          <w:u w:val="single"/>
        </w:rPr>
        <w:t>Section 11.07(a)</w:t>
      </w:r>
      <w:r>
        <w:rPr>
          <w:rFonts w:ascii="Times New Roman" w:hAnsi="Times New Roman"/>
          <w:sz w:val="20"/>
        </w:rPr>
        <w:t xml:space="preserve"> shall (i) require or authorize any issuance, cancellation, reclassification or other change to Units except as permitted by, and subject to, </w:t>
      </w:r>
      <w:r>
        <w:rPr>
          <w:rFonts w:ascii="Times New Roman" w:hAnsi="Times New Roman"/>
          <w:sz w:val="20"/>
          <w:u w:val="single"/>
        </w:rPr>
        <w:t>Article III</w:t>
      </w:r>
      <w:r>
        <w:rPr>
          <w:rFonts w:ascii="Times New Roman" w:hAnsi="Times New Roman"/>
          <w:sz w:val="20"/>
        </w:rPr>
        <w:t xml:space="preserve"> (including </w:t>
      </w:r>
      <w:r>
        <w:rPr>
          <w:rFonts w:ascii="Times New Roman" w:hAnsi="Times New Roman"/>
          <w:sz w:val="20"/>
          <w:u w:val="single"/>
        </w:rPr>
        <w:t>Sections 3.02</w:t>
      </w:r>
      <w:r>
        <w:rPr>
          <w:rFonts w:ascii="Times New Roman" w:hAnsi="Times New Roman"/>
          <w:sz w:val="20"/>
        </w:rPr>
        <w:t xml:space="preserve"> and </w:t>
      </w:r>
      <w:r>
        <w:rPr>
          <w:rFonts w:ascii="Times New Roman" w:hAnsi="Times New Roman"/>
          <w:sz w:val="20"/>
          <w:u w:val="single"/>
        </w:rPr>
        <w:t>3.04</w:t>
      </w:r>
      <w:r>
        <w:rPr>
          <w:rFonts w:ascii="Times New Roman" w:hAnsi="Times New Roman"/>
          <w:sz w:val="20"/>
        </w:rPr>
        <w:t xml:space="preserve">), (ii) be construed to modify the one-to-one maintenance and capitalization mechanics set forth in Section 3.04, (iii) alter or override the application of any provision of this Agreement that expressly references Management Holdings, (iv) confer Member status on any Management Holdings Member, except as provided in </w:t>
      </w:r>
      <w:r>
        <w:rPr>
          <w:rFonts w:ascii="Times New Roman" w:hAnsi="Times New Roman"/>
          <w:sz w:val="20"/>
          <w:u w:val="single"/>
        </w:rPr>
        <w:t>Article XII</w:t>
      </w:r>
      <w:r>
        <w:rPr>
          <w:rFonts w:ascii="Times New Roman" w:hAnsi="Times New Roman"/>
          <w:sz w:val="20"/>
        </w:rPr>
        <w:t xml:space="preserve">, or (v) modify this </w:t>
      </w:r>
      <w:r>
        <w:rPr>
          <w:rFonts w:ascii="Times New Roman" w:hAnsi="Times New Roman"/>
          <w:sz w:val="20"/>
          <w:u w:val="single"/>
        </w:rPr>
        <w:t>Article XI</w:t>
      </w:r>
      <w:r>
        <w:rPr>
          <w:rFonts w:ascii="Times New Roman" w:hAnsi="Times New Roman"/>
          <w:sz w:val="20"/>
        </w:rPr>
        <w:t xml:space="preserve"> (including as to timing, eligibility or other limitations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(b) Following the Oaktree Complete Redemption Date, for purposes of determining the applicability of any contractual lock-up period or Black-Out Period or the Redemption Date, if the Redeeming Member is Management Holdings, then such determination shall be made by reference to the applicable Management Holdings Member holding Corresponding Management Units corresponding to the Redeemed Units (or portion thereof) subject to such Redemption. </w:t>
      </w:r>
    </w:p>
    <w:p>
      <w:pPr>
        <w:pStyle w:val="TextBody"/>
        <w:bidi w:val="0"/>
        <w:spacing w:before="480" w:after="0"/>
        <w:jc w:val="center"/>
        <w:rPr>
          <w:rFonts w:ascii="Times New Roman" w:hAnsi="Times New Roman"/>
          <w:sz w:val="20"/>
        </w:rPr>
      </w:pPr>
      <w:r>
        <w:rPr>
          <w:rFonts w:ascii="Times New Roman" w:hAnsi="Times New Roman"/>
          <w:sz w:val="20"/>
        </w:rPr>
        <w:t xml:space="preserve">ARTICLE XII </w:t>
      </w:r>
    </w:p>
    <w:p>
      <w:pPr>
        <w:pStyle w:val="TextBody"/>
        <w:bidi w:val="0"/>
        <w:spacing w:before="0" w:after="0"/>
        <w:jc w:val="center"/>
        <w:rPr>
          <w:rFonts w:ascii="Times New Roman" w:hAnsi="Times New Roman"/>
          <w:sz w:val="20"/>
        </w:rPr>
      </w:pPr>
      <w:r>
        <w:rPr>
          <w:rFonts w:ascii="Times New Roman" w:hAnsi="Times New Roman"/>
          <w:sz w:val="20"/>
        </w:rPr>
        <w:t xml:space="preserve">ADMISSION OF MEMBERS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Substituted Members</w:t>
      </w:r>
      <w:r>
        <w:rPr>
          <w:rFonts w:ascii="Times New Roman" w:hAnsi="Times New Roman"/>
          <w:sz w:val="20"/>
        </w:rPr>
        <w:t xml:space="preserve">. Subject to the provisions of </w:t>
      </w:r>
      <w:r>
        <w:rPr>
          <w:rFonts w:ascii="Times New Roman" w:hAnsi="Times New Roman"/>
          <w:sz w:val="20"/>
          <w:u w:val="single"/>
        </w:rPr>
        <w:t>Article X</w:t>
      </w:r>
      <w:r>
        <w:rPr>
          <w:rFonts w:ascii="Times New Roman" w:hAnsi="Times New Roman"/>
          <w:sz w:val="20"/>
        </w:rPr>
        <w:t xml:space="preserve"> hereof, in connection with the Permitted Transfer of a Unit hereunder, the Permitted Transferee shall become a Substituted Member on the effective date of such Transfer, which effective date shall not be earlier than the date of compliance with the conditions to such Transfer, and such admission shall be shown on the books and records of the Company, including the Schedule of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Additional Members</w:t>
      </w:r>
      <w:r>
        <w:rPr>
          <w:rFonts w:ascii="Times New Roman" w:hAnsi="Times New Roman"/>
          <w:sz w:val="20"/>
        </w:rPr>
        <w:t xml:space="preserve">. Subject to the provisions of </w:t>
      </w:r>
      <w:r>
        <w:rPr>
          <w:rFonts w:ascii="Times New Roman" w:hAnsi="Times New Roman"/>
          <w:sz w:val="20"/>
          <w:u w:val="single"/>
        </w:rPr>
        <w:t>Article X</w:t>
      </w:r>
      <w:r>
        <w:rPr>
          <w:rFonts w:ascii="Times New Roman" w:hAnsi="Times New Roman"/>
          <w:sz w:val="20"/>
        </w:rPr>
        <w:t xml:space="preserve"> hereof, any Person that is not a Member as of the Effective Date may be admitted to the Company as an additional Member (any such Person, an “</w:t>
      </w:r>
      <w:r>
        <w:rPr>
          <w:rFonts w:ascii="Times New Roman" w:hAnsi="Times New Roman"/>
          <w:b/>
          <w:i/>
          <w:sz w:val="20"/>
        </w:rPr>
        <w:t>Additional Member</w:t>
      </w:r>
      <w:r>
        <w:rPr>
          <w:rFonts w:ascii="Times New Roman" w:hAnsi="Times New Roman"/>
          <w:sz w:val="20"/>
        </w:rPr>
        <w:t xml:space="preserve">”) only upon furnishing to the Manager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Manager). Such admission shall become effective on the date on which the Manager determines in its sole discretion that such conditions have been satisfied and when any such admission is shown on the books and records of the Company, including the Schedule of Members.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XIII </w:t>
      </w:r>
    </w:p>
    <w:p>
      <w:pPr>
        <w:pStyle w:val="TextBody"/>
        <w:bidi w:val="0"/>
        <w:spacing w:before="0" w:after="0"/>
        <w:jc w:val="center"/>
        <w:rPr>
          <w:rFonts w:ascii="Times New Roman" w:hAnsi="Times New Roman"/>
          <w:sz w:val="20"/>
        </w:rPr>
      </w:pPr>
      <w:r>
        <w:rPr>
          <w:rFonts w:ascii="Times New Roman" w:hAnsi="Times New Roman"/>
          <w:sz w:val="20"/>
        </w:rPr>
        <w:t xml:space="preserve">WITHDRAWAL AND RESIGNATION; TERMINATION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Withdrawal and Resignation of Members</w:t>
      </w:r>
      <w:r>
        <w:rPr>
          <w:rFonts w:ascii="Times New Roman" w:hAnsi="Times New Roman"/>
          <w:sz w:val="20"/>
        </w:rPr>
        <w:t xml:space="preserve">. Except in the event of Transfers pursuant to </w:t>
      </w:r>
      <w:r>
        <w:rPr>
          <w:rFonts w:ascii="Times New Roman" w:hAnsi="Times New Roman"/>
          <w:sz w:val="20"/>
          <w:u w:val="single"/>
        </w:rPr>
        <w:t>Section 10.06</w:t>
      </w:r>
      <w:r>
        <w:rPr>
          <w:rFonts w:ascii="Times New Roman" w:hAnsi="Times New Roman"/>
          <w:sz w:val="20"/>
        </w:rPr>
        <w:t xml:space="preserve"> and the Manager’s right to resign pursuant to </w:t>
      </w:r>
      <w:r>
        <w:rPr>
          <w:rFonts w:ascii="Times New Roman" w:hAnsi="Times New Roman"/>
          <w:sz w:val="20"/>
          <w:u w:val="single"/>
        </w:rPr>
        <w:t>Section 6.03</w:t>
      </w:r>
      <w:r>
        <w:rPr>
          <w:rFonts w:ascii="Times New Roman" w:hAnsi="Times New Roman"/>
          <w:sz w:val="20"/>
        </w:rPr>
        <w:t xml:space="preserve">, no Member shall have the power or right to withdraw or otherwise resign as a Member from the Company prior to the dissolution and winding up of the Company pursuant to </w:t>
      </w:r>
      <w:r>
        <w:rPr>
          <w:rFonts w:ascii="Times New Roman" w:hAnsi="Times New Roman"/>
          <w:sz w:val="20"/>
          <w:u w:val="single"/>
        </w:rPr>
        <w:t>Article XIV</w:t>
      </w:r>
      <w:r>
        <w:rPr>
          <w:rFonts w:ascii="Times New Roman" w:hAnsi="Times New Roman"/>
          <w:sz w:val="20"/>
        </w:rPr>
        <w:t xml:space="preserve">. Any Member, however, that attempts to withdraw or otherwise resign as a Member from the Company without the prior written consent of the Manager upon or following the dissolution and winding up of the Company pursuant to </w:t>
      </w:r>
      <w:r>
        <w:rPr>
          <w:rFonts w:ascii="Times New Roman" w:hAnsi="Times New Roman"/>
          <w:sz w:val="20"/>
          <w:u w:val="single"/>
        </w:rPr>
        <w:t>Article XIV</w:t>
      </w:r>
      <w:r>
        <w:rPr>
          <w:rFonts w:ascii="Times New Roman" w:hAnsi="Times New Roman"/>
          <w:sz w:val="20"/>
        </w:rPr>
        <w:t xml:space="preserve">, but prior to such Member receiving the full amount of Distributions from the Company to which such Member is entitled pursuant to </w:t>
      </w:r>
      <w:r>
        <w:rPr>
          <w:rFonts w:ascii="Times New Roman" w:hAnsi="Times New Roman"/>
          <w:sz w:val="20"/>
          <w:u w:val="single"/>
        </w:rPr>
        <w:t>Article XIV</w:t>
      </w:r>
      <w:r>
        <w:rPr>
          <w:rFonts w:ascii="Times New Roman" w:hAnsi="Times New Roman"/>
          <w:sz w:val="20"/>
        </w:rPr>
        <w:t xml:space="preserve">, shall be liable to the Company for all damages (including all lost profits and special, indirect and consequential damages) directly or indirectly caused by the withdrawal or resignation of such Member. Upon a Transfer of all of a Member’s Units in a Transfer permitted by this Agreement, subject to the provisions of </w:t>
      </w:r>
      <w:r>
        <w:rPr>
          <w:rFonts w:ascii="Times New Roman" w:hAnsi="Times New Roman"/>
          <w:sz w:val="20"/>
          <w:u w:val="single"/>
        </w:rPr>
        <w:t>Section 10.06</w:t>
      </w:r>
      <w:r>
        <w:rPr>
          <w:rFonts w:ascii="Times New Roman" w:hAnsi="Times New Roman"/>
          <w:sz w:val="20"/>
        </w:rPr>
        <w:t xml:space="preserve">, such Member shall cease to be a Member. </w:t>
      </w:r>
    </w:p>
    <w:p>
      <w:pPr>
        <w:pStyle w:val="TextBody"/>
        <w:bidi w:val="0"/>
        <w:spacing w:before="480" w:after="0"/>
        <w:jc w:val="center"/>
        <w:rPr>
          <w:rFonts w:ascii="Times New Roman" w:hAnsi="Times New Roman"/>
          <w:sz w:val="20"/>
        </w:rPr>
      </w:pPr>
      <w:r>
        <w:rPr>
          <w:rFonts w:ascii="Times New Roman" w:hAnsi="Times New Roman"/>
          <w:sz w:val="20"/>
        </w:rPr>
        <w:t xml:space="preserve">ARTICLE XIV </w:t>
      </w:r>
    </w:p>
    <w:p>
      <w:pPr>
        <w:pStyle w:val="TextBody"/>
        <w:bidi w:val="0"/>
        <w:spacing w:before="0" w:after="0"/>
        <w:jc w:val="center"/>
        <w:rPr>
          <w:rFonts w:ascii="Times New Roman" w:hAnsi="Times New Roman"/>
          <w:sz w:val="20"/>
        </w:rPr>
      </w:pPr>
      <w:r>
        <w:rPr>
          <w:rFonts w:ascii="Times New Roman" w:hAnsi="Times New Roman"/>
          <w:sz w:val="20"/>
        </w:rPr>
        <w:t xml:space="preserve">DISSOLUTION AND LIQUIDATION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Dissolution</w:t>
      </w:r>
      <w:r>
        <w:rPr>
          <w:rFonts w:ascii="Times New Roman" w:hAnsi="Times New Roman"/>
          <w:sz w:val="20"/>
        </w:rPr>
        <w:t xml:space="preserve">. The Company shall not be dissolved by the admission of Additional Members or Substituted Members or the attempted withdrawal, removal, dissolution, bankruptcy or resignation of a Member. The Company shall dissolve, and its affairs shall be wound up, upon: </w:t>
      </w:r>
    </w:p>
    <w:p>
      <w:pPr>
        <w:pStyle w:val="TextBody"/>
        <w:bidi w:val="0"/>
        <w:spacing w:before="120" w:after="0"/>
        <w:jc w:val="left"/>
        <w:rPr>
          <w:rFonts w:ascii="Times New Roman" w:hAnsi="Times New Roman"/>
          <w:sz w:val="20"/>
        </w:rPr>
      </w:pPr>
      <w:r>
        <w:rPr>
          <w:rFonts w:ascii="Times New Roman" w:hAnsi="Times New Roman"/>
          <w:sz w:val="20"/>
        </w:rPr>
        <w:t xml:space="preserve">(a) the decision of the Manager, together with the written approval of the Members holding a majority of the Common Units (excluding for purposes of such calculation all Common Units held directly or indirectly by the Corporation), to dissolve the Company; </w:t>
      </w:r>
    </w:p>
    <w:p>
      <w:pPr>
        <w:pStyle w:val="TextBody"/>
        <w:bidi w:val="0"/>
        <w:spacing w:before="120" w:after="0"/>
        <w:jc w:val="left"/>
        <w:rPr>
          <w:rFonts w:ascii="Times New Roman" w:hAnsi="Times New Roman"/>
          <w:sz w:val="20"/>
        </w:rPr>
      </w:pPr>
      <w:r>
        <w:rPr>
          <w:rFonts w:ascii="Times New Roman" w:hAnsi="Times New Roman"/>
          <w:sz w:val="20"/>
        </w:rPr>
        <w:t xml:space="preserve">(b) a dissolution of the Company under Section 18-801(4) of the Delaware Act, unless the Company is continued without dissolution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(c) the entry of a decree of judicial dissolution of the Company under Section 18-802 of the Delaware Act;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termination of the legal existence of the last remaining Member of the Company or the occurrence of any other event which terminates the continued membership of the last remaining Member of the Company in the Company unless the Company is continued without dissolution in a manner permitted by this Agreement or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w:t>
      </w:r>
      <w:r>
        <w:rPr>
          <w:rFonts w:ascii="Times New Roman" w:hAnsi="Times New Roman"/>
          <w:sz w:val="20"/>
          <w:u w:val="single"/>
        </w:rPr>
        <w:t>Article XIV</w:t>
      </w:r>
      <w:r>
        <w:rPr>
          <w:rFonts w:ascii="Times New Roman" w:hAnsi="Times New Roman"/>
          <w:sz w:val="20"/>
        </w:rPr>
        <w:t xml:space="preserve">, the Company is intended to have perpetual existence. An Event of Withdrawal shall not in and of itself cause a dissolution of the Company and the Company shall continue in existence subject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Winding up</w:t>
      </w:r>
      <w:r>
        <w:rPr>
          <w:rFonts w:ascii="Times New Roman" w:hAnsi="Times New Roman"/>
          <w:sz w:val="20"/>
        </w:rPr>
        <w:t xml:space="preserve">. Subject to </w:t>
      </w:r>
      <w:r>
        <w:rPr>
          <w:rFonts w:ascii="Times New Roman" w:hAnsi="Times New Roman"/>
          <w:sz w:val="20"/>
          <w:u w:val="single"/>
        </w:rPr>
        <w:t>Section 14.05</w:t>
      </w:r>
      <w:r>
        <w:rPr>
          <w:rFonts w:ascii="Times New Roman" w:hAnsi="Times New Roman"/>
          <w:sz w:val="20"/>
        </w:rPr>
        <w:t>, on dissolution of the Company, the Manager shall act as liquidating trustee or may appoint one or more Persons as liquidating trustee (each such Person, a “</w:t>
      </w:r>
      <w:r>
        <w:rPr>
          <w:rFonts w:ascii="Times New Roman" w:hAnsi="Times New Roman"/>
          <w:b/>
          <w:i/>
          <w:sz w:val="20"/>
        </w:rPr>
        <w:t>Liquidator</w:t>
      </w:r>
      <w:r>
        <w:rPr>
          <w:rFonts w:ascii="Times New Roman" w:hAnsi="Times New Roman"/>
          <w:sz w:val="20"/>
        </w:rPr>
        <w:t xml:space="preserve">”). The Liquidators shall proceed diligently to wind up the affairs of the Company and make final distributions as provided herein and in the Delaware Act. The costs of liquidation shall be borne as an expense of the Company. Until final distribution, the Liquidators shall, to the fullest extent permitted by applicable Law, continue to operate the properties of the Company with all of the power and authority of the Manager. The steps to be accomplished by the Liquidators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the Liquidators shall pay, satisfy or discharge from the Company’s funds, or otherwise make adequate provision for payment and discharge thereof (including, without limitation, the establishment of a cash fund for contingent, conditional and unmatured liabilities in such amount and for such term as the liquidators may reasonably determine) the following: first, all of the debts, liabilities and obligations of the Company owed to creditors other than the Members in satisfaction of the liabilities of the Company (whether by payment or the making of reasonable provision for payment thereof), including all expenses incurred in connection with the liquidations; and second, all of the debts, liabilities and obligations of the Company owed to the Members (other than any payments or distributions owed to such Members in their capacity as Members pursuant to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following any payments pursuant to the foregoing </w:t>
      </w:r>
      <w:r>
        <w:rPr>
          <w:rFonts w:ascii="Times New Roman" w:hAnsi="Times New Roman"/>
          <w:sz w:val="20"/>
          <w:u w:val="single"/>
        </w:rPr>
        <w:t>Section 14.02(b)</w:t>
      </w:r>
      <w:r>
        <w:rPr>
          <w:rFonts w:ascii="Times New Roman" w:hAnsi="Times New Roman"/>
          <w:sz w:val="20"/>
        </w:rPr>
        <w:t xml:space="preserve">, all remaining assets of the Company shall be distributed to the Members in accordance with </w:t>
      </w:r>
      <w:r>
        <w:rPr>
          <w:rFonts w:ascii="Times New Roman" w:hAnsi="Times New Roman"/>
          <w:sz w:val="20"/>
          <w:u w:val="single"/>
        </w:rPr>
        <w:t>Section 4.01(a)</w:t>
      </w:r>
      <w:r>
        <w:rPr>
          <w:rFonts w:ascii="Times New Roman" w:hAnsi="Times New Roman"/>
          <w:sz w:val="20"/>
        </w:rPr>
        <w:t xml:space="preserve"> by the end of the Taxable Year during which the liquidation of the Company occurs (or, if later, by ninety (90) days after the date of the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cash and/or property to the Members in accordance with the provisions of this </w:t>
      </w:r>
      <w:r>
        <w:rPr>
          <w:rFonts w:ascii="Times New Roman" w:hAnsi="Times New Roman"/>
          <w:sz w:val="20"/>
          <w:u w:val="single"/>
        </w:rPr>
        <w:t>Section 14.02</w:t>
      </w:r>
      <w:r>
        <w:rPr>
          <w:rFonts w:ascii="Times New Roman" w:hAnsi="Times New Roman"/>
          <w:sz w:val="20"/>
        </w:rPr>
        <w:t xml:space="preserve"> and </w:t>
      </w:r>
      <w:r>
        <w:rPr>
          <w:rFonts w:ascii="Times New Roman" w:hAnsi="Times New Roman"/>
          <w:sz w:val="20"/>
          <w:u w:val="single"/>
        </w:rPr>
        <w:t>Section 14.03</w:t>
      </w:r>
      <w:r>
        <w:rPr>
          <w:rFonts w:ascii="Times New Roman" w:hAnsi="Times New Roman"/>
          <w:sz w:val="20"/>
        </w:rPr>
        <w:t xml:space="preserve"> below 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Deferment; Distribution in Kind</w:t>
      </w:r>
      <w:r>
        <w:rPr>
          <w:rFonts w:ascii="Times New Roman" w:hAnsi="Times New Roman"/>
          <w:sz w:val="20"/>
        </w:rPr>
        <w:t xml:space="preserve">. Notwithstanding the provisions of </w:t>
      </w:r>
      <w:r>
        <w:rPr>
          <w:rFonts w:ascii="Times New Roman" w:hAnsi="Times New Roman"/>
          <w:sz w:val="20"/>
          <w:u w:val="single"/>
        </w:rPr>
        <w:t>Section 14.02</w:t>
      </w:r>
      <w:r>
        <w:rPr>
          <w:rFonts w:ascii="Times New Roman" w:hAnsi="Times New Roman"/>
          <w:sz w:val="20"/>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and the fullest extent permitted by applicable Law, defer for a reasonable time the liquidation of any assets except those necessary to satisfy the Company’s liabilities (other than loans to the Company by any Member(s)) and reserves. Subject to the order of priorities set forth in </w:t>
      </w:r>
      <w:r>
        <w:rPr>
          <w:rFonts w:ascii="Times New Roman" w:hAnsi="Times New Roman"/>
          <w:sz w:val="20"/>
          <w:u w:val="single"/>
        </w:rPr>
        <w:t>Section 14.02</w:t>
      </w:r>
      <w:r>
        <w:rPr>
          <w:rFonts w:ascii="Times New Roman" w:hAnsi="Times New Roman"/>
          <w:sz w:val="20"/>
        </w:rPr>
        <w:t xml:space="preserve">, the Liquidators may, in their sole discretion, distribute to the Members, in lieu of cash, either (a) all or any portion of such remaining assets in-kind of the Company in accordance with the provisions of </w:t>
      </w:r>
      <w:r>
        <w:rPr>
          <w:rFonts w:ascii="Times New Roman" w:hAnsi="Times New Roman"/>
          <w:sz w:val="20"/>
          <w:u w:val="single"/>
        </w:rPr>
        <w:t>Section 14.02(c)</w:t>
      </w:r>
      <w:r>
        <w:rPr>
          <w:rFonts w:ascii="Times New Roman" w:hAnsi="Times New Roman"/>
          <w:sz w:val="20"/>
        </w:rPr>
        <w:t xml:space="preserve">, (b) as tenants in common and in accordance with the provisions of </w:t>
      </w:r>
      <w:r>
        <w:rPr>
          <w:rFonts w:ascii="Times New Roman" w:hAnsi="Times New Roman"/>
          <w:sz w:val="20"/>
          <w:u w:val="single"/>
        </w:rPr>
        <w:t>Section 14.02(c)</w:t>
      </w:r>
      <w:r>
        <w:rPr>
          <w:rFonts w:ascii="Times New Roman" w:hAnsi="Times New Roman"/>
          <w:sz w:val="20"/>
        </w:rPr>
        <w:t xml:space="preserve">, undivided interests in all or any portion of such assets of the Company or (c) a combination of the foregoing. Any such Distributions in-kind shall be subject to (y) such conditions relating to the disposition and management of such assets as the Liquidators deem reasonable and equitable and (z) the terms and conditions of any agreements governing such assets (or the operation thereof or the holders thereof) at such time. Any assets of the Company distributed in kind will first be written up or down to their Fair Market Value, thus creating Profit or Loss (if any), which shall be allocated in accordance with </w:t>
      </w:r>
      <w:r>
        <w:rPr>
          <w:rFonts w:ascii="Times New Roman" w:hAnsi="Times New Roman"/>
          <w:sz w:val="20"/>
          <w:u w:val="single"/>
        </w:rPr>
        <w:t>Article V</w:t>
      </w:r>
      <w:r>
        <w:rPr>
          <w:rFonts w:ascii="Times New Roman" w:hAnsi="Times New Roman"/>
          <w:sz w:val="20"/>
        </w:rPr>
        <w:t xml:space="preserve">. The Liquidators shall determine the Fair Market Value of any property distributed.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Cancellation of Certificate</w:t>
      </w:r>
      <w:r>
        <w:rPr>
          <w:rFonts w:ascii="Times New Roman" w:hAnsi="Times New Roman"/>
          <w:sz w:val="20"/>
        </w:rPr>
        <w:t xml:space="preserve">. On completion of the winding up of the Company as provided herein, the Manager (or such other Person or Persons as the Delaware Act may require or permit) shall file a certificate of cancellation of the Certificate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w:t>
      </w:r>
      <w:r>
        <w:rPr>
          <w:rFonts w:ascii="Times New Roman" w:hAnsi="Times New Roman"/>
          <w:sz w:val="20"/>
          <w:u w:val="single"/>
        </w:rPr>
        <w:t>Section 14.04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Reasonable Time for Winding Up</w:t>
      </w:r>
      <w:r>
        <w:rPr>
          <w:rFonts w:ascii="Times New Roman" w:hAnsi="Times New Roman"/>
          <w:sz w:val="20"/>
        </w:rPr>
        <w:t xml:space="preserve">. A reasonable time shall be allowed for the orderly winding up of the business and affairs of the Company and the liquidation of its assets pursuant to </w:t>
      </w:r>
      <w:r>
        <w:rPr>
          <w:rFonts w:ascii="Times New Roman" w:hAnsi="Times New Roman"/>
          <w:sz w:val="20"/>
          <w:u w:val="single"/>
        </w:rPr>
        <w:t>Sections 14.02</w:t>
      </w:r>
      <w:r>
        <w:rPr>
          <w:rFonts w:ascii="Times New Roman" w:hAnsi="Times New Roman"/>
          <w:sz w:val="20"/>
        </w:rPr>
        <w:t xml:space="preserve"> and </w:t>
      </w:r>
      <w:r>
        <w:rPr>
          <w:rFonts w:ascii="Times New Roman" w:hAnsi="Times New Roman"/>
          <w:sz w:val="20"/>
          <w:u w:val="single"/>
        </w:rPr>
        <w:t>14.03</w:t>
      </w:r>
      <w:r>
        <w:rPr>
          <w:rFonts w:ascii="Times New Roman" w:hAnsi="Times New Roman"/>
          <w:sz w:val="20"/>
        </w:rPr>
        <w:t xml:space="preserve"> in order to minimize any losses otherwise attendant upon such winding up.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Return of Capital</w:t>
      </w:r>
      <w:r>
        <w:rPr>
          <w:rFonts w:ascii="Times New Roman" w:hAnsi="Times New Roman"/>
          <w:sz w:val="20"/>
        </w:rPr>
        <w:t xml:space="preserve">. The Liquidators shall not be personally liable for the return of Capital Contributions or any portion thereof to the Members (it being understood that any such return shall be made solely from assets of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XV </w:t>
      </w:r>
    </w:p>
    <w:p>
      <w:pPr>
        <w:pStyle w:val="TextBody"/>
        <w:bidi w:val="0"/>
        <w:spacing w:before="0" w:after="0"/>
        <w:jc w:val="center"/>
        <w:rPr>
          <w:rFonts w:ascii="Times New Roman" w:hAnsi="Times New Roman"/>
          <w:sz w:val="20"/>
        </w:rPr>
      </w:pPr>
      <w:r>
        <w:rPr>
          <w:rFonts w:ascii="Times New Roman" w:hAnsi="Times New Roman"/>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the Members (other than the Corporation or its Subsidiaries) agrees that, without limiting the applicability of any other agreement to which any Member may be subject, no Member shall directly or indirectly disclose at any time any Confidential Information of which such Member is or becomes aware. Each Member in possession of Confidential Information shall take all appropriate steps to safeguard such information and to protect it against disclosure, misuse, espionage, loss and theft. “</w:t>
      </w:r>
      <w:r>
        <w:rPr>
          <w:rFonts w:ascii="Times New Roman" w:hAnsi="Times New Roman"/>
          <w:b/>
          <w:i/>
          <w:sz w:val="20"/>
        </w:rPr>
        <w:t>Confidential Information</w:t>
      </w:r>
      <w:r>
        <w:rPr>
          <w:rFonts w:ascii="Times New Roman" w:hAnsi="Times New Roman"/>
          <w:sz w:val="20"/>
        </w:rPr>
        <w:t xml:space="preserve">” as used herein includes all nonpublic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concerning the Company or its Subsidiaries including, but not limited to, ideas, business strategies, innovations and materials, all aspects of the Company’s business plan, proposed operation and products, operating practices and methods, corporate structure, financial and organizational information, analyses, expansion plans, strategic plans, marketing plans, contracts, customer lists or other business documents which the Company treats as confidential, designs, employees and their identities, equity ownership, the methods and means by which the Company plans to conduct its business, all trade secrets, trademarks, tradenames and all intellectual property associated with the Company’s business. With respect to each Member, Confidential Information does not include information or material that: </w:t>
      </w:r>
    </w:p>
    <w:p>
      <w:pPr>
        <w:pStyle w:val="TextBody"/>
        <w:bidi w:val="0"/>
        <w:spacing w:before="120" w:after="0"/>
        <w:jc w:val="left"/>
        <w:rPr>
          <w:rFonts w:ascii="Times New Roman" w:hAnsi="Times New Roman"/>
          <w:sz w:val="20"/>
        </w:rPr>
      </w:pPr>
      <w:r>
        <w:rPr>
          <w:rFonts w:ascii="Times New Roman" w:hAnsi="Times New Roman"/>
          <w:sz w:val="20"/>
        </w:rPr>
        <w:t xml:space="preserve">(a) (i) is rightfully in the possession of such Member at the time of disclosure by the Company; (ii) before or after it has been disclosed to such Member by the Company, becomes part of public knowledge, not as a result of any action or inaction of such Member in violation of this Agreement; or (iii) is approved for release by written authorization of the Corporate Board or the Manager, or any other officer designated by the Manager.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a Member may disclose Confidential Information to the extent (i) the disclosure is necessary for the Member and/or the Company’s employees, agents, representatives and advisors to fulfill their duties to the Company pursuant to this Agreement and/or other written agreements or (ii) the disclosure is required by Law, court order, subpoena or legal process or to comply with the requirements of a state or federal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any Oaktree Person may disclose Confidential Information (subject to customary obligations of confidentiality with respect to the information so disclosed) (A) to its Affiliates and any of their respective partners, officers, directors, managers, members, employees, accountants, attorneys or other advisors or representatives, (B) as part of such Oaktree Person’s or any of its Affiliates’ ordinary course of business, including normal reporting, rating or review procedures (including normal credit rating and pricing process) or (C) in connection with such Oaktree Person’s or any of its Affiliates’ normal fund raising, marketing, informational or reporting activities at a customary level of detail.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sz w:val="20"/>
          <w:u w:val="single"/>
        </w:rPr>
        <w:t>Amendments</w:t>
      </w:r>
      <w:r>
        <w:rPr>
          <w:rFonts w:ascii="Times New Roman" w:hAnsi="Times New Roman"/>
          <w:sz w:val="20"/>
        </w:rPr>
        <w:t xml:space="preserve">. Except as otherwise contemplated by this Agreement, this Agreement may be amended or modified upon the written consent of the Manager, together with the written consent of the holders of a majority of the Common Units then outstanding (excluding all Common Units held directly or indirectly by the Corporation). Notwithstanding the foregoing, no amendment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(a) to any of the terms and conditions of this Agreement which terms and conditions expressly (i) require the approval or action of certain Persons may be made without obtaining the consent of the requisite number or specified percentage of such Persons who are entitled to approve or take action on such matter or (ii) reserve rights to the Oaktree Representative may be made without obtaining the consent of the Oaktree Representative, as applicable;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any of the terms and conditions of this Agreement which would (i) reduce the amounts distributable to a Member pursuant to </w:t>
      </w:r>
      <w:r>
        <w:rPr>
          <w:rFonts w:ascii="Times New Roman" w:hAnsi="Times New Roman"/>
          <w:sz w:val="20"/>
          <w:u w:val="single"/>
        </w:rPr>
        <w:t>Articles IV</w:t>
      </w:r>
      <w:r>
        <w:rPr>
          <w:rFonts w:ascii="Times New Roman" w:hAnsi="Times New Roman"/>
          <w:sz w:val="20"/>
        </w:rPr>
        <w:t xml:space="preserve"> and </w:t>
      </w:r>
      <w:r>
        <w:rPr>
          <w:rFonts w:ascii="Times New Roman" w:hAnsi="Times New Roman"/>
          <w:sz w:val="20"/>
          <w:u w:val="single"/>
        </w:rPr>
        <w:t>XIV</w:t>
      </w:r>
      <w:r>
        <w:rPr>
          <w:rFonts w:ascii="Times New Roman" w:hAnsi="Times New Roman"/>
          <w:sz w:val="20"/>
        </w:rPr>
        <w:t xml:space="preserve"> in a manner that is not </w:t>
      </w:r>
      <w:r>
        <w:rPr>
          <w:rFonts w:ascii="Times New Roman" w:hAnsi="Times New Roman"/>
          <w:i/>
          <w:sz w:val="20"/>
        </w:rPr>
        <w:t xml:space="preserve">pro rata </w:t>
      </w:r>
      <w:r>
        <w:rPr>
          <w:rFonts w:ascii="Times New Roman" w:hAnsi="Times New Roman"/>
          <w:sz w:val="20"/>
        </w:rPr>
        <w:t xml:space="preserve">with respect to all Members, (ii) increase the liabilities of such Member hereunder, (iii) otherwise materially and adversely affect a holder of Units (with respect to such Units) in a manner materially disproportionate to any other holder of Units of the same class or series (with respect to such Units) (other than amendments, modifications and waivers necessary to implement the provisions of </w:t>
      </w:r>
      <w:r>
        <w:rPr>
          <w:rFonts w:ascii="Times New Roman" w:hAnsi="Times New Roman"/>
          <w:sz w:val="20"/>
          <w:u w:val="single"/>
        </w:rPr>
        <w:t>Article XII</w:t>
      </w:r>
      <w:r>
        <w:rPr>
          <w:rFonts w:ascii="Times New Roman" w:hAnsi="Times New Roman"/>
          <w:sz w:val="20"/>
        </w:rPr>
        <w:t xml:space="preserve">) or (iv) materially and adversely affect the rights of any Member under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3.05</w:t>
      </w:r>
      <w:r>
        <w:rPr>
          <w:rFonts w:ascii="Times New Roman" w:hAnsi="Times New Roman"/>
          <w:sz w:val="20"/>
        </w:rPr>
        <w:t xml:space="preserve">, </w:t>
      </w:r>
      <w:r>
        <w:rPr>
          <w:rFonts w:ascii="Times New Roman" w:hAnsi="Times New Roman"/>
          <w:sz w:val="20"/>
          <w:u w:val="single"/>
        </w:rPr>
        <w:t>Section 7.01</w:t>
      </w:r>
      <w:r>
        <w:rPr>
          <w:rFonts w:ascii="Times New Roman" w:hAnsi="Times New Roman"/>
          <w:sz w:val="20"/>
        </w:rPr>
        <w:t xml:space="preserve">, </w:t>
      </w:r>
      <w:r>
        <w:rPr>
          <w:rFonts w:ascii="Times New Roman" w:hAnsi="Times New Roman"/>
          <w:sz w:val="20"/>
          <w:u w:val="single"/>
        </w:rPr>
        <w:t>Section 7.04</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or </w:t>
      </w:r>
      <w:r>
        <w:rPr>
          <w:rFonts w:ascii="Times New Roman" w:hAnsi="Times New Roman"/>
          <w:sz w:val="20"/>
          <w:u w:val="single"/>
        </w:rPr>
        <w:t>Article XI</w:t>
      </w:r>
      <w:r>
        <w:rPr>
          <w:rFonts w:ascii="Times New Roman" w:hAnsi="Times New Roman"/>
          <w:sz w:val="20"/>
        </w:rPr>
        <w:t xml:space="preserve">, shall be effective against such affected Member or holder of Units, as the case may be, without the prior written consent of the holders of a majority of such affected Units,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of the foregoing, the Manager may make any amendment (i) of an administrative nature that is necessary in order to implement the substantive provisions hereof, without the consent of any other Member; </w:t>
      </w:r>
      <w:r>
        <w:rPr>
          <w:rFonts w:ascii="Times New Roman" w:hAnsi="Times New Roman"/>
          <w:i/>
          <w:sz w:val="20"/>
        </w:rPr>
        <w:t>provided</w:t>
      </w:r>
      <w:r>
        <w:rPr>
          <w:rFonts w:ascii="Times New Roman" w:hAnsi="Times New Roman"/>
          <w:sz w:val="20"/>
        </w:rPr>
        <w:t xml:space="preserve">, that any such amendment does not adversely change the rights of the Members hereunder in any respect, (ii) to reflect any changes to the Class A Common Stock or Class B Common Stock or the issuance of any other capital stock of the Corporation or (iii) to issue Units in accordance with </w:t>
      </w:r>
      <w:r>
        <w:rPr>
          <w:rFonts w:ascii="Times New Roman" w:hAnsi="Times New Roman"/>
          <w:sz w:val="20"/>
          <w:u w:val="single"/>
        </w:rPr>
        <w:t>Section 3.02(b)</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each case of the foregoing clauses and notwithstanding anything herein to the contrary, so long as the Tax Receivable Agreement remains outstanding and in effect, no amendment or modification may be made to this Agreement that is adverse to the TRA Holders without the prior written consent of the Agent (as defined in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15.03. </w:t>
      </w:r>
      <w:r>
        <w:rPr>
          <w:rFonts w:ascii="Times New Roman" w:hAnsi="Times New Roman"/>
          <w:sz w:val="20"/>
          <w:u w:val="single"/>
        </w:rPr>
        <w:t>Title to Company Assets</w:t>
      </w:r>
      <w:r>
        <w:rPr>
          <w:rFonts w:ascii="Times New Roman" w:hAnsi="Times New Roman"/>
          <w:sz w:val="20"/>
        </w:rPr>
        <w:t xml:space="preserve">. Company assets shall be owned by the Company as an entity, and no Member, individually or collectively, shall have any ownership interest in such assets of the Company or any portion thereof.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 used solely for the benefit of the Company, and no asset of the Company shall be transferred or encumbered for, or in payment of, any individual obligation of any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sz w:val="20"/>
          <w:u w:val="single"/>
        </w:rPr>
        <w:t>Addresses and Notices</w:t>
      </w:r>
      <w:r>
        <w:rPr>
          <w:rFonts w:ascii="Times New Roman" w:hAnsi="Times New Roman"/>
          <w:sz w:val="20"/>
        </w:rPr>
        <w:t xml:space="preserve">. All notices and other communications to be given to any party hereunder shall be sufficiently given for all purposes hereunder if in writing and delivered by hand, courier or overnight delivery service, or when received in the form of an electronic transmission (receipt confirmation requested), and shall be directed to the address set forth, or at such address or to the attention of such other person as the recipient party has specified by prior written notice to the Company or the sending party. </w:t>
      </w:r>
    </w:p>
    <w:p>
      <w:pPr>
        <w:pStyle w:val="TextBody"/>
        <w:bidi w:val="0"/>
        <w:spacing w:before="240" w:after="0"/>
        <w:jc w:val="left"/>
        <w:rPr>
          <w:rFonts w:ascii="Times New Roman" w:hAnsi="Times New Roman"/>
          <w:sz w:val="20"/>
        </w:rPr>
      </w:pPr>
      <w:r>
        <w:rPr>
          <w:rFonts w:ascii="Times New Roman" w:hAnsi="Times New Roman"/>
          <w:sz w:val="20"/>
        </w:rPr>
        <w:t xml:space="preserve">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ITG Parent, LLC </w:t>
      </w:r>
    </w:p>
    <w:p>
      <w:pPr>
        <w:pStyle w:val="TextBody"/>
        <w:bidi w:val="0"/>
        <w:spacing w:before="0" w:after="0"/>
        <w:jc w:val="left"/>
        <w:rPr>
          <w:rFonts w:ascii="Times New Roman" w:hAnsi="Times New Roman"/>
          <w:sz w:val="20"/>
        </w:rPr>
      </w:pPr>
      <w:r>
        <w:rPr>
          <w:rFonts w:ascii="Times New Roman" w:hAnsi="Times New Roman"/>
          <w:sz w:val="20"/>
        </w:rPr>
        <w:t xml:space="preserve">c/o Oaktree Capital Management, L.P. </w:t>
      </w:r>
    </w:p>
    <w:p>
      <w:pPr>
        <w:pStyle w:val="TextBody"/>
        <w:bidi w:val="0"/>
        <w:spacing w:before="0" w:after="0"/>
        <w:jc w:val="left"/>
        <w:rPr>
          <w:rFonts w:ascii="Times New Roman" w:hAnsi="Times New Roman"/>
          <w:sz w:val="20"/>
        </w:rPr>
      </w:pPr>
      <w:r>
        <w:rPr>
          <w:rFonts w:ascii="Times New Roman" w:hAnsi="Times New Roman"/>
          <w:sz w:val="20"/>
        </w:rPr>
        <w:t xml:space="preserve">11611 San Vicente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90049 </w:t>
      </w:r>
    </w:p>
    <w:p>
      <w:pPr>
        <w:pStyle w:val="TextBody"/>
        <w:bidi w:val="0"/>
        <w:spacing w:before="0" w:after="0"/>
        <w:jc w:val="left"/>
        <w:rPr>
          <w:rFonts w:ascii="Times New Roman" w:hAnsi="Times New Roman"/>
          <w:sz w:val="20"/>
        </w:rPr>
      </w:pPr>
      <w:r>
        <w:rPr>
          <w:rFonts w:ascii="Times New Roman" w:hAnsi="Times New Roman"/>
          <w:sz w:val="20"/>
        </w:rPr>
        <w:t xml:space="preserve">Attention: James Lee; Robert Wu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copy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1999 Avenue of the Stars, Suite 1800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Tana Ryan; Alice Yuan </w:t>
      </w:r>
    </w:p>
    <w:p>
      <w:pPr>
        <w:pStyle w:val="TextBody"/>
        <w:bidi w:val="0"/>
        <w:spacing w:before="0" w:after="0"/>
        <w:jc w:val="left"/>
        <w:rPr>
          <w:rFonts w:ascii="Times New Roman" w:hAnsi="Times New Roman"/>
          <w:sz w:val="20"/>
        </w:rPr>
      </w:pPr>
      <w:r>
        <w:rPr>
          <w:rFonts w:ascii="Times New Roman" w:hAnsi="Times New Roman"/>
          <w:sz w:val="20"/>
        </w:rPr>
        <w:t xml:space="preserve">E-mail: Tana.Ryan@weil.com; Alice.Yuan@weil.com </w:t>
      </w:r>
    </w:p>
    <w:p>
      <w:pPr>
        <w:pStyle w:val="TextBody"/>
        <w:bidi w:val="0"/>
        <w:spacing w:before="240" w:after="0"/>
        <w:jc w:val="left"/>
        <w:rPr>
          <w:rFonts w:ascii="Times New Roman" w:hAnsi="Times New Roman"/>
          <w:sz w:val="20"/>
        </w:rPr>
      </w:pPr>
      <w:r>
        <w:rPr>
          <w:rFonts w:ascii="Times New Roman" w:hAnsi="Times New Roman"/>
          <w:sz w:val="20"/>
        </w:rPr>
        <w:t xml:space="preserve">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c/o Oaktree Capital Management, L.P. </w:t>
      </w:r>
    </w:p>
    <w:p>
      <w:pPr>
        <w:pStyle w:val="TextBody"/>
        <w:bidi w:val="0"/>
        <w:spacing w:before="0" w:after="0"/>
        <w:jc w:val="left"/>
        <w:rPr>
          <w:rFonts w:ascii="Times New Roman" w:hAnsi="Times New Roman"/>
          <w:sz w:val="20"/>
        </w:rPr>
      </w:pPr>
      <w:r>
        <w:rPr>
          <w:rFonts w:ascii="Times New Roman" w:hAnsi="Times New Roman"/>
          <w:sz w:val="20"/>
        </w:rPr>
        <w:t xml:space="preserve">11611 San Vicente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90049 </w:t>
      </w:r>
    </w:p>
    <w:p>
      <w:pPr>
        <w:pStyle w:val="TextBody"/>
        <w:bidi w:val="0"/>
        <w:spacing w:before="0" w:after="0"/>
        <w:jc w:val="left"/>
        <w:rPr>
          <w:rFonts w:ascii="Times New Roman" w:hAnsi="Times New Roman"/>
          <w:sz w:val="20"/>
        </w:rPr>
      </w:pPr>
      <w:r>
        <w:rPr>
          <w:rFonts w:ascii="Times New Roman" w:hAnsi="Times New Roman"/>
          <w:sz w:val="20"/>
        </w:rPr>
        <w:t xml:space="preserve">Attention: James Lee; Robert Wu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copy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1999 Avenue of the Stars, Suite 1800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Tana Ryan; Alice Yuan </w:t>
      </w:r>
    </w:p>
    <w:p>
      <w:pPr>
        <w:pStyle w:val="TextBody"/>
        <w:bidi w:val="0"/>
        <w:spacing w:before="0" w:after="0"/>
        <w:jc w:val="left"/>
        <w:rPr>
          <w:rFonts w:ascii="Times New Roman" w:hAnsi="Times New Roman"/>
          <w:sz w:val="20"/>
        </w:rPr>
      </w:pPr>
      <w:r>
        <w:rPr>
          <w:rFonts w:ascii="Times New Roman" w:hAnsi="Times New Roman"/>
          <w:sz w:val="20"/>
        </w:rPr>
        <w:t xml:space="preserve">E-mail: Tana.Ryan@weil.com; Alice.Yuan@weil.com </w:t>
      </w:r>
    </w:p>
    <w:p>
      <w:pPr>
        <w:pStyle w:val="TextBody"/>
        <w:bidi w:val="0"/>
        <w:spacing w:before="240" w:after="0"/>
        <w:jc w:val="left"/>
        <w:rPr>
          <w:rFonts w:ascii="Times New Roman" w:hAnsi="Times New Roman"/>
          <w:sz w:val="20"/>
        </w:rPr>
      </w:pPr>
      <w:r>
        <w:rPr>
          <w:rFonts w:ascii="Times New Roman" w:hAnsi="Times New Roman"/>
          <w:sz w:val="20"/>
        </w:rPr>
        <w:t xml:space="preserve">To the Members, as set forth on </w:t>
      </w:r>
      <w:r>
        <w:rPr>
          <w:rFonts w:ascii="Times New Roman" w:hAnsi="Times New Roman"/>
          <w:sz w:val="20"/>
          <w:u w:val="single"/>
        </w:rPr>
        <w:t>Schedule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sz w:val="20"/>
          <w:u w:val="single"/>
        </w:rPr>
        <w:t>Binding Effect; Intended Beneficiaries</w:t>
      </w:r>
      <w:r>
        <w:rPr>
          <w:rFonts w:ascii="Times New Roman" w:hAnsi="Times New Roman"/>
          <w:sz w:val="20"/>
        </w:rPr>
        <w:t xml:space="preserve">. This Agreement shall be binding upon and inure to the benefit of the parties hereto and their heirs, executors, administrators, successors, legal representatives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15.06. </w:t>
      </w:r>
      <w:r>
        <w:rPr>
          <w:rFonts w:ascii="Times New Roman" w:hAnsi="Times New Roman"/>
          <w:sz w:val="20"/>
          <w:u w:val="single"/>
        </w:rPr>
        <w:t>Creditors</w:t>
      </w:r>
      <w:r>
        <w:rPr>
          <w:rFonts w:ascii="Times New Roman" w:hAnsi="Times New Roman"/>
          <w:sz w:val="20"/>
        </w:rPr>
        <w:t xml:space="preserve">.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Profits, Losses, Distributions, capital or property of the Company other than as a secured creditor. </w:t>
      </w:r>
    </w:p>
    <w:p>
      <w:pPr>
        <w:pStyle w:val="TextBody"/>
        <w:bidi w:val="0"/>
        <w:spacing w:before="240" w:after="0"/>
        <w:jc w:val="left"/>
        <w:rPr>
          <w:rFonts w:ascii="Times New Roman" w:hAnsi="Times New Roman"/>
          <w:sz w:val="20"/>
        </w:rPr>
      </w:pPr>
      <w:r>
        <w:rPr>
          <w:rFonts w:ascii="Times New Roman" w:hAnsi="Times New Roman"/>
          <w:sz w:val="20"/>
        </w:rPr>
        <w:t xml:space="preserve">Section 15.07. </w:t>
      </w:r>
      <w:r>
        <w:rPr>
          <w:rFonts w:ascii="Times New Roman" w:hAnsi="Times New Roman"/>
          <w:sz w:val="20"/>
          <w:u w:val="single"/>
        </w:rPr>
        <w:t>Waiver</w:t>
      </w:r>
      <w:r>
        <w:rPr>
          <w:rFonts w:ascii="Times New Roman" w:hAnsi="Times New Roman"/>
          <w:sz w:val="20"/>
        </w:rPr>
        <w:t xml:space="preser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15.08. </w:t>
      </w:r>
      <w:r>
        <w:rPr>
          <w:rFonts w:ascii="Times New Roman" w:hAnsi="Times New Roman"/>
          <w:sz w:val="20"/>
          <w:u w:val="single"/>
        </w:rPr>
        <w:t>Counterparts</w:t>
      </w:r>
      <w:r>
        <w:rPr>
          <w:rFonts w:ascii="Times New Roman" w:hAnsi="Times New Roman"/>
          <w:sz w:val="20"/>
        </w:rPr>
        <w:t xml:space="preserve">. This Agreement may be executed in separate counterparts, each of which will be an original and all of which together shall constitute one and the same agreement binding on all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15.09. </w:t>
      </w:r>
      <w:r>
        <w:rPr>
          <w:rFonts w:ascii="Times New Roman" w:hAnsi="Times New Roman"/>
          <w:sz w:val="20"/>
          <w:u w:val="single"/>
        </w:rPr>
        <w:t>Applicable Law</w:t>
      </w:r>
      <w:r>
        <w:rPr>
          <w:rFonts w:ascii="Times New Roman" w:hAnsi="Times New Roman"/>
          <w:sz w:val="20"/>
        </w:rPr>
        <w:t xml:space="preserve">.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suit, dispute, action or proceeding seeking to enforce any provision of, or based on any matter arising out of or in connection with, this Agreement shall be heard in the state or federal courts of the State of Delaware, and the parties hereby consent to the exclusive jurisdiction of such court (and of the appropriate appellate courts) in any such suit, action or proceeding and waives any objection to venue laid therein.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 EXTENT PERMITTED BY LAW, THE PARTIES AGREE THAT SERVICE OF PROCESS UPON SUCH PARTY AT THE ADDRESS REFERRED TO IN </w:t>
      </w:r>
      <w:r>
        <w:rPr>
          <w:rFonts w:ascii="Times New Roman" w:hAnsi="Times New Roman"/>
          <w:sz w:val="20"/>
          <w:u w:val="single"/>
        </w:rPr>
        <w:t>SECTION 15.04</w:t>
      </w:r>
      <w:r>
        <w:rPr>
          <w:rFonts w:ascii="Times New Roman" w:hAnsi="Times New Roman"/>
          <w:sz w:val="20"/>
        </w:rPr>
        <w:t xml:space="preserve"> (INCLUDING BY PREPAID CERTIFIED MAIL WITH A VALIDATED PROOF OF MAILING RECEIPT), TOGETHER WITH WRITTEN NOTICE OF SUCH SERVICE TO SUCH PARTY, SHALL BE DEEMED EFFECTIVE SERVICE OF PROCESS UPON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15.10. </w:t>
      </w:r>
      <w:r>
        <w:rPr>
          <w:rFonts w:ascii="Times New Roman" w:hAnsi="Times New Roman"/>
          <w:sz w:val="20"/>
          <w:u w:val="single"/>
        </w:rPr>
        <w:t>Waiver of Jury Trial</w:t>
      </w:r>
      <w:r>
        <w:rPr>
          <w:rFonts w:ascii="Times New Roman" w:hAnsi="Times New Roman"/>
          <w:sz w:val="20"/>
        </w:rPr>
        <w:t xml:space="preserve">. TO THE FULLEST EXTENT PERMITTED BY APPLICABLE LAW, EACH PARTY HERETO HEREBY WAIVES ITS RIGHTS TO A TRIAL BY JURY OF ANY CLAIM OR CAUSE OF ACTION BASED UPON OR ARISING OUT OF THIS AGREEMENT OR ANY DEALINGS BETWEEN THEM RELATING TO THE SUBJECT MATTER OF THIS AGREEMENT AND THE RELATIONSHIP THAT IS BEING ESTABLISHED. THIS WAIVER SHALL APPLY TO ANY SUBSEQUENT AMENDMENTS, RENEWALS, SUPPLEMENTS OR MODIFICATIONS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15.11. </w:t>
      </w:r>
      <w:r>
        <w:rPr>
          <w:rFonts w:ascii="Times New Roman" w:hAnsi="Times New Roman"/>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15.12. </w:t>
      </w:r>
      <w:r>
        <w:rPr>
          <w:rFonts w:ascii="Times New Roman" w:hAnsi="Times New Roman"/>
          <w:sz w:val="20"/>
          <w:u w:val="single"/>
        </w:rPr>
        <w:t>Further Action</w:t>
      </w:r>
      <w:r>
        <w:rPr>
          <w:rFonts w:ascii="Times New Roman" w:hAnsi="Times New Roman"/>
          <w:sz w:val="20"/>
        </w:rPr>
        <w:t xml:space="preserve">. The parties shall execute and deliver all documents, provide all information and take or refrain from taking such actions as may be necessary or appropriate to achieve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15.13. </w:t>
      </w:r>
      <w:r>
        <w:rPr>
          <w:rFonts w:ascii="Times New Roman" w:hAnsi="Times New Roman"/>
          <w:sz w:val="20"/>
          <w:u w:val="single"/>
        </w:rPr>
        <w:t>Execution and Delivery by Electronic Signature and Electronic Transmission</w:t>
      </w:r>
      <w:r>
        <w:rPr>
          <w:rFonts w:ascii="Times New Roman" w:hAnsi="Times New Roman"/>
          <w:sz w:val="20"/>
        </w:rPr>
        <w:t xml:space="preserve">. This Agreement and any signed agreement or instrument entered into in connection with this Agreement or contemplated hereby or entered into by the Company in accordance herewith, and any amendments hereto or thereto, to the extent signed and delivered by means of an electronic signature and/or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signature or electronic transmission to execute and/or deliver a document or the fact that any signature or agreement or instrument was transmitted or communicated through such electronic transmission as a defense to the formation of a contract and each such party forever waives any such defense.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15.14. </w:t>
      </w:r>
      <w:r>
        <w:rPr>
          <w:rFonts w:ascii="Times New Roman" w:hAnsi="Times New Roman"/>
          <w:sz w:val="20"/>
          <w:u w:val="single"/>
        </w:rPr>
        <w:t>Entire Agreement</w:t>
      </w:r>
      <w:r>
        <w:rPr>
          <w:rFonts w:ascii="Times New Roman" w:hAnsi="Times New Roman"/>
          <w:sz w:val="20"/>
        </w:rPr>
        <w:t xml:space="preserve">. This Agreement, those documents expressly referred to herein (including the Registration Rights Agreement, the Tax Receivable Agreement and the Stockholders Agreement), any indemnity agreements entered into in connection with the Initial LLC Agreement with any member of the board of directors at that time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For the avoidance of doubt, the Initial LLC Agreement is superseded by this Agreement as of the Effective Date and shall be of no further force and effect thereafter. </w:t>
      </w:r>
    </w:p>
    <w:p>
      <w:pPr>
        <w:pStyle w:val="TextBody"/>
        <w:bidi w:val="0"/>
        <w:spacing w:before="240" w:after="0"/>
        <w:jc w:val="left"/>
        <w:rPr>
          <w:rFonts w:ascii="Times New Roman" w:hAnsi="Times New Roman"/>
          <w:sz w:val="20"/>
        </w:rPr>
      </w:pPr>
      <w:r>
        <w:rPr>
          <w:rFonts w:ascii="Times New Roman" w:hAnsi="Times New Roman"/>
          <w:sz w:val="20"/>
        </w:rPr>
        <w:t xml:space="preserve">Section 15.15. </w:t>
      </w:r>
      <w:r>
        <w:rPr>
          <w:rFonts w:ascii="Times New Roman" w:hAnsi="Times New Roman"/>
          <w:sz w:val="20"/>
          <w:u w:val="single"/>
        </w:rPr>
        <w:t>Remedies</w:t>
      </w:r>
      <w:r>
        <w:rPr>
          <w:rFonts w:ascii="Times New Roman" w:hAnsi="Times New Roman"/>
          <w:sz w:val="20"/>
        </w:rPr>
        <w:t xml:space="preserve">. Each Member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15.16. </w:t>
      </w:r>
      <w:r>
        <w:rPr>
          <w:rFonts w:ascii="Times New Roman" w:hAnsi="Times New Roman"/>
          <w:sz w:val="20"/>
          <w:u w:val="single"/>
        </w:rPr>
        <w:t>Descriptive Headings; Interpretation</w:t>
      </w:r>
      <w:r>
        <w:rPr>
          <w:rFonts w:ascii="Times New Roman" w:hAnsi="Times New Roman"/>
          <w:sz w:val="20"/>
        </w:rPr>
        <w:t xml:space="preserve">.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or caused to be executed on their behalf this Second Amended and Restated Limited Liability Company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b/>
              </w:rPr>
              <w:t>ITG PARENT,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Parrott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Andrew Parrott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CORPORATION: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b/>
              </w:rPr>
              <w:t>ITG,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Parrott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Andrew Parrott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Second Amended and Restated Limited Liability Company Agreement of ITG Parent, LLC]</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MEMBERS: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b/>
              </w:rPr>
              <w:t>ITG INTERMEDIATE,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Parrott</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Andrew Parrott</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b/>
              </w:rPr>
              <w:t>ITG MANAGEMENT HOLDINGS,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p>
            <w:pPr>
              <w:pStyle w:val="TableContents"/>
              <w:bidi w:val="0"/>
              <w:spacing w:before="0" w:after="20"/>
              <w:jc w:val="left"/>
              <w:rPr>
                <w:rFonts w:ascii="Times New Roman" w:hAnsi="Times New Roman"/>
                <w:sz w:val="20"/>
              </w:rPr>
            </w:pPr>
            <w:r>
              <w:rPr>
                <w:rFonts w:ascii="Times New Roman" w:hAnsi="Times New Roman"/>
                <w:sz w:val="20"/>
              </w:rPr>
              <w:t>Its:</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rFonts w:ascii="Times New Roman" w:hAnsi="Times New Roman"/>
                <w:sz w:val="20"/>
              </w:rPr>
            </w:pPr>
            <w:r>
              <w:rPr>
                <w:rFonts w:ascii="Times New Roman" w:hAnsi="Times New Roman"/>
                <w:sz w:val="20"/>
              </w:rPr>
              <w:t>ITG MH Manager, LLC</w:t>
            </w:r>
          </w:p>
          <w:p>
            <w:pPr>
              <w:pStyle w:val="TableContents"/>
              <w:bidi w:val="0"/>
              <w:spacing w:before="0" w:after="20"/>
              <w:jc w:val="left"/>
              <w:rPr>
                <w:rFonts w:ascii="Times New Roman" w:hAnsi="Times New Roman"/>
                <w:sz w:val="20"/>
              </w:rPr>
            </w:pPr>
            <w:r>
              <w:rPr>
                <w:rFonts w:ascii="Times New Roman" w:hAnsi="Times New Roman"/>
                <w:sz w:val="20"/>
              </w:rPr>
              <w:t>Manager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Lee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James Lee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pPr>
            <w:r>
              <w:rPr/>
              <w:t> </w:t>
            </w:r>
            <w:r>
              <w:rPr>
                <w:rFonts w:ascii="Times New Roman" w:hAnsi="Times New Roman"/>
                <w:b/>
                <w:sz w:val="20"/>
              </w:rPr>
              <w:t>OCM ITG AGGREGATOR,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Lee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James Lee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Second Amended and Restated Limited Liability Company Agreement of ITG Parent, LLC]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PRE-IPO MEMBERS </w:t>
      </w:r>
    </w:p>
    <w:p>
      <w:pPr>
        <w:pStyle w:val="TextBody"/>
        <w:bidi w:val="0"/>
        <w:spacing w:before="240" w:after="0"/>
        <w:jc w:val="center"/>
        <w:rPr>
          <w:rFonts w:ascii="Times New Roman" w:hAnsi="Times New Roman"/>
          <w:i/>
          <w:sz w:val="20"/>
        </w:rPr>
      </w:pPr>
      <w:r>
        <w:rPr>
          <w:rFonts w:ascii="Times New Roman" w:hAnsi="Times New Roman"/>
          <w:i/>
          <w:sz w:val="20"/>
        </w:rPr>
        <w:t xml:space="preserve">On file with the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MEMBERS </w:t>
      </w:r>
    </w:p>
    <w:p>
      <w:pPr>
        <w:pStyle w:val="TextBody"/>
        <w:bidi w:val="0"/>
        <w:spacing w:before="240" w:after="0"/>
        <w:jc w:val="center"/>
        <w:rPr>
          <w:rFonts w:ascii="Times New Roman" w:hAnsi="Times New Roman"/>
          <w:i/>
          <w:sz w:val="20"/>
        </w:rPr>
      </w:pPr>
      <w:r>
        <w:rPr>
          <w:rFonts w:ascii="Times New Roman" w:hAnsi="Times New Roman"/>
          <w:i/>
          <w:sz w:val="20"/>
        </w:rPr>
        <w:t xml:space="preserve">On file with the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240" w:after="0"/>
        <w:jc w:val="center"/>
        <w:rPr>
          <w:rFonts w:ascii="Times New Roman" w:hAnsi="Times New Roman"/>
          <w:b/>
          <w:sz w:val="20"/>
        </w:rPr>
      </w:pPr>
      <w:r>
        <w:rPr>
          <w:rFonts w:ascii="Times New Roman" w:hAnsi="Times New Roman"/>
          <w:b/>
          <w:sz w:val="20"/>
        </w:rPr>
        <w:t xml:space="preserve">INITIAL OFFICERS </w:t>
      </w:r>
    </w:p>
    <w:p>
      <w:pPr>
        <w:pStyle w:val="TextBody"/>
        <w:bidi w:val="0"/>
        <w:spacing w:before="240" w:after="0"/>
        <w:jc w:val="left"/>
        <w:rPr>
          <w:rFonts w:ascii="Times New Roman" w:hAnsi="Times New Roman"/>
          <w:sz w:val="20"/>
        </w:rPr>
      </w:pPr>
      <w:r>
        <w:rPr>
          <w:rFonts w:ascii="Times New Roman" w:hAnsi="Times New Roman"/>
          <w:sz w:val="20"/>
        </w:rPr>
        <w:t xml:space="preserve">Andrew Parrott –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Christopher Mecray –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Michael Brooks – Executive Chairman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JOINDER AGREEMENT </w:t>
      </w:r>
    </w:p>
    <w:p>
      <w:pPr>
        <w:pStyle w:val="TextBody"/>
        <w:bidi w:val="0"/>
        <w:spacing w:before="240" w:after="0"/>
        <w:jc w:val="left"/>
        <w:rPr>
          <w:rFonts w:ascii="Times New Roman" w:hAnsi="Times New Roman"/>
          <w:sz w:val="20"/>
        </w:rPr>
      </w:pPr>
      <w:r>
        <w:rPr>
          <w:rFonts w:ascii="Times New Roman" w:hAnsi="Times New Roman"/>
          <w:sz w:val="20"/>
        </w:rPr>
        <w:t>This JOINDER AGREEMENT, dated as of [</w:t>
      </w:r>
      <w:r>
        <w:rPr>
          <w:rFonts w:ascii="Times New Roman" w:hAnsi="Times New Roman"/>
          <w:sz w:val="20"/>
          <w:u w:val="single"/>
        </w:rPr>
        <w:t>    </w:t>
      </w:r>
      <w:r>
        <w:rPr>
          <w:rFonts w:ascii="Times New Roman" w:hAnsi="Times New Roman"/>
          <w:sz w:val="20"/>
        </w:rPr>
        <w:t xml:space="preserve"> ], 20[</w:t>
      </w:r>
      <w:r>
        <w:rPr>
          <w:rFonts w:ascii="Times New Roman" w:hAnsi="Times New Roman"/>
          <w:sz w:val="20"/>
          <w:u w:val="single"/>
        </w:rPr>
        <w:t xml:space="preserve">  </w:t>
      </w:r>
      <w:r>
        <w:rPr>
          <w:rFonts w:ascii="Times New Roman" w:hAnsi="Times New Roman"/>
          <w:sz w:val="20"/>
        </w:rPr>
        <w:t>] (this “</w:t>
      </w:r>
      <w:r>
        <w:rPr>
          <w:rFonts w:ascii="Times New Roman" w:hAnsi="Times New Roman"/>
          <w:b/>
          <w:i/>
          <w:sz w:val="20"/>
        </w:rPr>
        <w:t>Joinder</w:t>
      </w:r>
      <w:r>
        <w:rPr>
          <w:rFonts w:ascii="Times New Roman" w:hAnsi="Times New Roman"/>
          <w:sz w:val="20"/>
        </w:rPr>
        <w:t>”), is delivered pursuant to that certain Second Amended and Restated Limited Liability Company Agreement, dated as of July 1, 2026 (as amended, restated, amended and restated, supplemented or otherwise modified from time to time, the “</w:t>
      </w:r>
      <w:r>
        <w:rPr>
          <w:rFonts w:ascii="Times New Roman" w:hAnsi="Times New Roman"/>
          <w:b/>
          <w:i/>
          <w:sz w:val="20"/>
        </w:rPr>
        <w:t>LLC Agreement</w:t>
      </w:r>
      <w:r>
        <w:rPr>
          <w:rFonts w:ascii="Times New Roman" w:hAnsi="Times New Roman"/>
          <w:sz w:val="20"/>
        </w:rPr>
        <w:t>”) of ITG Parent, LLC, a Delaware limited liability company (the “</w:t>
      </w:r>
      <w:r>
        <w:rPr>
          <w:rFonts w:ascii="Times New Roman" w:hAnsi="Times New Roman"/>
          <w:b/>
          <w:i/>
          <w:sz w:val="20"/>
        </w:rPr>
        <w:t>Company</w:t>
      </w:r>
      <w:r>
        <w:rPr>
          <w:rFonts w:ascii="Times New Roman" w:hAnsi="Times New Roman"/>
          <w:sz w:val="20"/>
        </w:rPr>
        <w:t>”), by and among the Company, ITG, Inc., a Delaware corporation, ITG Intermediate, LLC, a Delaware limited liability company and the managing member of the Company (the “</w:t>
      </w:r>
      <w:r>
        <w:rPr>
          <w:rFonts w:ascii="Times New Roman" w:hAnsi="Times New Roman"/>
          <w:b/>
          <w:i/>
          <w:sz w:val="20"/>
        </w:rPr>
        <w:t>Manager</w:t>
      </w:r>
      <w:r>
        <w:rPr>
          <w:rFonts w:ascii="Times New Roman" w:hAnsi="Times New Roman"/>
          <w:sz w:val="20"/>
        </w:rPr>
        <w:t xml:space="preserve">”), and each of the Members from time to time party thereto. Capitalized terms used but not otherwise defined herein have the respective meanings set forth in the LLC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Joinder to the LLC Agreement</w:t>
            </w:r>
            <w:r>
              <w:rPr>
                <w:rFonts w:ascii="Times New Roman" w:hAnsi="Times New Roman"/>
                <w:sz w:val="20"/>
              </w:rPr>
              <w:t xml:space="preserve">. Upon the execution of this Joinder by the undersigned and delivery hereof to the Manager, the undersigned hereby is admitted as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Incorporation by Reference</w:t>
            </w:r>
            <w:r>
              <w:rPr>
                <w:rFonts w:ascii="Times New Roman" w:hAnsi="Times New Roman"/>
                <w:sz w:val="20"/>
              </w:rPr>
              <w:t xml:space="preserve">. All terms and conditions of the LLC Agreement are hereby incorporated by reference in this Joinder as if set forth herein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Address</w:t>
            </w:r>
            <w:r>
              <w:rPr>
                <w:rFonts w:ascii="Times New Roman" w:hAnsi="Times New Roman"/>
                <w:sz w:val="20"/>
              </w:rPr>
              <w:t xml:space="preserve">. All notices under the LLC Agreement to the undersigned shall be directed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[City, State, Zip Code]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Facsimile: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duly executed and delivered this Joinder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44"/>
        <w:gridCol w:w="98"/>
        <w:gridCol w:w="2940"/>
      </w:tblGrid>
      <w:tr>
        <w:trPr/>
        <w:tc>
          <w:tcPr>
            <w:tcW w:w="1044"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 OF NEW MEMBER]</w:t>
            </w:r>
          </w:p>
        </w:tc>
      </w:tr>
      <w:tr>
        <w:trPr>
          <w:trHeight w:val="240" w:hRule="atLeast"/>
        </w:trPr>
        <w:tc>
          <w:tcPr>
            <w:tcW w:w="1044" w:type="dxa"/>
            <w:tcBorders/>
            <w:vAlign w:val="center"/>
          </w:tcPr>
          <w:p>
            <w:pPr>
              <w:pStyle w:val="TableContents"/>
              <w:bidi w:val="0"/>
              <w:spacing w:before="0" w:after="283"/>
              <w:jc w:val="left"/>
              <w:rPr>
                <w:sz w:val="4"/>
                <w:szCs w:val="4"/>
              </w:rPr>
            </w:pPr>
            <w:r>
              <w:rPr>
                <w:sz w:val="4"/>
                <w:szCs w:val="4"/>
              </w:rPr>
            </w:r>
          </w:p>
        </w:tc>
        <w:tc>
          <w:tcPr>
            <w:tcW w:w="3038" w:type="dxa"/>
            <w:gridSpan w:val="2"/>
            <w:tcBorders/>
            <w:vAlign w:val="center"/>
          </w:tcPr>
          <w:p>
            <w:pPr>
              <w:pStyle w:val="TableContents"/>
              <w:bidi w:val="0"/>
              <w:spacing w:before="0" w:after="283"/>
              <w:jc w:val="left"/>
              <w:rPr>
                <w:sz w:val="4"/>
                <w:szCs w:val="4"/>
              </w:rPr>
            </w:pPr>
            <w:r>
              <w:rPr>
                <w:sz w:val="4"/>
                <w:szCs w:val="4"/>
              </w:rPr>
            </w:r>
          </w:p>
        </w:tc>
      </w:tr>
      <w:tr>
        <w:trPr/>
        <w:tc>
          <w:tcPr>
            <w:tcW w:w="1044" w:type="dxa"/>
            <w:tcBorders/>
          </w:tcPr>
          <w:p>
            <w:pPr>
              <w:pStyle w:val="TableContents"/>
              <w:bidi w:val="0"/>
              <w:spacing w:before="0" w:after="283"/>
              <w:jc w:val="left"/>
              <w:rPr/>
            </w:pPr>
            <w:r>
              <w:rPr/>
              <w:t>By:</w:t>
            </w:r>
          </w:p>
        </w:tc>
        <w:tc>
          <w:tcPr>
            <w:tcW w:w="98" w:type="dxa"/>
            <w:tcBorders/>
            <w:vAlign w:val="bottom"/>
          </w:tcPr>
          <w:p>
            <w:pPr>
              <w:pStyle w:val="TableContents"/>
              <w:bidi w:val="0"/>
              <w:spacing w:before="0" w:after="283"/>
              <w:jc w:val="left"/>
              <w:rPr/>
            </w:pPr>
            <w:r>
              <w:rPr/>
              <w:t> </w:t>
            </w:r>
          </w:p>
        </w:tc>
        <w:tc>
          <w:tcPr>
            <w:tcW w:w="2940" w:type="dxa"/>
            <w:tcBorders/>
          </w:tcPr>
          <w:p>
            <w:pPr>
              <w:pStyle w:val="TableContents"/>
              <w:pBdr>
                <w:bottom w:val="single" w:sz="2" w:space="1" w:color="000000"/>
              </w:pBdr>
              <w:bidi w:val="0"/>
              <w:spacing w:before="0" w:after="20"/>
              <w:jc w:val="left"/>
              <w:rPr/>
            </w:pPr>
            <w:r>
              <w:rPr/>
              <w:t> </w:t>
            </w:r>
          </w:p>
        </w:tc>
      </w:tr>
      <w:tr>
        <w:trPr/>
        <w:tc>
          <w:tcPr>
            <w:tcW w:w="1044" w:type="dxa"/>
            <w:tcBorders/>
          </w:tcPr>
          <w:p>
            <w:pPr>
              <w:pStyle w:val="TableContents"/>
              <w:bidi w:val="0"/>
              <w:spacing w:before="0" w:after="283"/>
              <w:jc w:val="left"/>
              <w:rPr/>
            </w:pPr>
            <w:r>
              <w:rPr/>
              <w:t>Name:</w:t>
            </w:r>
          </w:p>
        </w:tc>
        <w:tc>
          <w:tcPr>
            <w:tcW w:w="98"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sz w:val="4"/>
                <w:szCs w:val="4"/>
              </w:rPr>
            </w:pPr>
            <w:r>
              <w:rPr>
                <w:sz w:val="4"/>
                <w:szCs w:val="4"/>
              </w:rPr>
            </w:r>
          </w:p>
        </w:tc>
      </w:tr>
      <w:tr>
        <w:trPr/>
        <w:tc>
          <w:tcPr>
            <w:tcW w:w="1044" w:type="dxa"/>
            <w:tcBorders/>
          </w:tcPr>
          <w:p>
            <w:pPr>
              <w:pStyle w:val="TableContents"/>
              <w:bidi w:val="0"/>
              <w:spacing w:before="0" w:after="283"/>
              <w:jc w:val="left"/>
              <w:rPr/>
            </w:pPr>
            <w:r>
              <w:rPr/>
              <w:t>Title:</w:t>
            </w:r>
          </w:p>
        </w:tc>
        <w:tc>
          <w:tcPr>
            <w:tcW w:w="98"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Acknowledged and agreed </w:t>
      </w:r>
    </w:p>
    <w:p>
      <w:pPr>
        <w:pStyle w:val="TextBody"/>
        <w:bidi w:val="0"/>
        <w:spacing w:before="0" w:after="0"/>
        <w:jc w:val="left"/>
        <w:rPr>
          <w:rFonts w:ascii="Times New Roman" w:hAnsi="Times New Roman"/>
          <w:sz w:val="20"/>
        </w:rPr>
      </w:pPr>
      <w:r>
        <w:rPr>
          <w:rFonts w:ascii="Times New Roman" w:hAnsi="Times New Roman"/>
          <w:sz w:val="20"/>
        </w:rPr>
        <w:t xml:space="preserve">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17"/>
        <w:gridCol w:w="100"/>
        <w:gridCol w:w="2265"/>
      </w:tblGrid>
      <w:tr>
        <w:trPr/>
        <w:tc>
          <w:tcPr>
            <w:tcW w:w="171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PARENT,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ITG INTERMEDIATE, LLC, its Managing Member</w:t>
            </w:r>
          </w:p>
        </w:tc>
      </w:tr>
      <w:tr>
        <w:trPr>
          <w:trHeight w:val="240" w:hRule="atLeast"/>
        </w:trPr>
        <w:tc>
          <w:tcPr>
            <w:tcW w:w="1717" w:type="dxa"/>
            <w:tcBorders/>
            <w:vAlign w:val="center"/>
          </w:tcPr>
          <w:p>
            <w:pPr>
              <w:pStyle w:val="TableContents"/>
              <w:bidi w:val="0"/>
              <w:spacing w:before="0" w:after="283"/>
              <w:jc w:val="left"/>
              <w:rPr>
                <w:sz w:val="4"/>
                <w:szCs w:val="4"/>
              </w:rPr>
            </w:pPr>
            <w:r>
              <w:rPr>
                <w:sz w:val="4"/>
                <w:szCs w:val="4"/>
              </w:rPr>
            </w:r>
          </w:p>
        </w:tc>
        <w:tc>
          <w:tcPr>
            <w:tcW w:w="2365" w:type="dxa"/>
            <w:gridSpan w:val="2"/>
            <w:tcBorders/>
            <w:vAlign w:val="center"/>
          </w:tcPr>
          <w:p>
            <w:pPr>
              <w:pStyle w:val="TableContents"/>
              <w:bidi w:val="0"/>
              <w:spacing w:before="0" w:after="283"/>
              <w:jc w:val="left"/>
              <w:rPr>
                <w:sz w:val="4"/>
                <w:szCs w:val="4"/>
              </w:rPr>
            </w:pPr>
            <w:r>
              <w:rPr>
                <w:sz w:val="4"/>
                <w:szCs w:val="4"/>
              </w:rPr>
            </w:r>
          </w:p>
        </w:tc>
      </w:tr>
      <w:tr>
        <w:trPr/>
        <w:tc>
          <w:tcPr>
            <w:tcW w:w="1717" w:type="dxa"/>
            <w:tcBorders/>
          </w:tcPr>
          <w:p>
            <w:pPr>
              <w:pStyle w:val="TableContents"/>
              <w:bidi w:val="0"/>
              <w:spacing w:before="0" w:after="283"/>
              <w:jc w:val="left"/>
              <w:rPr/>
            </w:pPr>
            <w:r>
              <w:rPr/>
              <w:t>By:</w:t>
            </w:r>
          </w:p>
        </w:tc>
        <w:tc>
          <w:tcPr>
            <w:tcW w:w="100" w:type="dxa"/>
            <w:tcBorders/>
            <w:vAlign w:val="bottom"/>
          </w:tcPr>
          <w:p>
            <w:pPr>
              <w:pStyle w:val="TableContents"/>
              <w:bidi w:val="0"/>
              <w:spacing w:before="0" w:after="283"/>
              <w:jc w:val="left"/>
              <w:rPr/>
            </w:pPr>
            <w:r>
              <w:rPr/>
              <w:t> </w:t>
            </w:r>
          </w:p>
        </w:tc>
        <w:tc>
          <w:tcPr>
            <w:tcW w:w="2265" w:type="dxa"/>
            <w:tcBorders/>
          </w:tcPr>
          <w:p>
            <w:pPr>
              <w:pStyle w:val="TableContents"/>
              <w:pBdr>
                <w:bottom w:val="single" w:sz="2" w:space="1" w:color="000000"/>
              </w:pBdr>
              <w:bidi w:val="0"/>
              <w:spacing w:before="0" w:after="20"/>
              <w:jc w:val="left"/>
              <w:rPr/>
            </w:pPr>
            <w:r>
              <w:rPr/>
              <w:t> </w:t>
            </w:r>
          </w:p>
        </w:tc>
      </w:tr>
      <w:tr>
        <w:trPr/>
        <w:tc>
          <w:tcPr>
            <w:tcW w:w="1717" w:type="dxa"/>
            <w:tcBorders/>
          </w:tcPr>
          <w:p>
            <w:pPr>
              <w:pStyle w:val="TableContents"/>
              <w:bidi w:val="0"/>
              <w:spacing w:before="0" w:after="283"/>
              <w:jc w:val="left"/>
              <w:rPr/>
            </w:pPr>
            <w:r>
              <w:rPr/>
              <w:t>Name:</w:t>
            </w:r>
          </w:p>
        </w:tc>
        <w:tc>
          <w:tcPr>
            <w:tcW w:w="10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r>
      <w:tr>
        <w:trPr/>
        <w:tc>
          <w:tcPr>
            <w:tcW w:w="1717" w:type="dxa"/>
            <w:tcBorders/>
          </w:tcPr>
          <w:p>
            <w:pPr>
              <w:pStyle w:val="TableContents"/>
              <w:bidi w:val="0"/>
              <w:spacing w:before="0" w:after="283"/>
              <w:jc w:val="left"/>
              <w:rPr/>
            </w:pPr>
            <w:r>
              <w:rPr/>
              <w:t>Title:</w:t>
            </w:r>
          </w:p>
        </w:tc>
        <w:tc>
          <w:tcPr>
            <w:tcW w:w="10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15" w:name="d88011dex102.htm"/>
      <w:bookmarkStart w:id="16" w:name="ksd88011dex102"/>
      <w:bookmarkEnd w:id="15"/>
      <w:bookmarkEnd w:id="16"/>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TAX RECEIVABLE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ITG, INC.,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OTHER PERSONS NAMED HEREIN,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AGENT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w:t>
      </w:r>
    </w:p>
    <w:p>
      <w:pPr>
        <w:pStyle w:val="TextBody"/>
        <w:bidi w:val="0"/>
        <w:spacing w:before="240" w:after="0"/>
        <w:jc w:val="center"/>
        <w:rPr>
          <w:rFonts w:ascii="Times New Roman" w:hAnsi="Times New Roman"/>
          <w:b/>
          <w:sz w:val="20"/>
        </w:rPr>
      </w:pPr>
      <w:r>
        <w:rPr>
          <w:rFonts w:ascii="Times New Roman" w:hAnsi="Times New Roman"/>
          <w:b/>
          <w:sz w:val="20"/>
        </w:rPr>
        <w:t xml:space="preserve">JULY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79"/>
        <w:gridCol w:w="128"/>
        <w:gridCol w:w="7431"/>
        <w:gridCol w:w="178"/>
        <w:gridCol w:w="96"/>
        <w:gridCol w:w="428"/>
        <w:gridCol w:w="65"/>
      </w:tblGrid>
      <w:tr>
        <w:trPr/>
        <w:tc>
          <w:tcPr>
            <w:tcW w:w="187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431"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87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4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283"/>
              <w:jc w:val="left"/>
              <w:rPr>
                <w:b/>
              </w:rPr>
            </w:pPr>
            <w:r>
              <w:rPr>
                <w:b/>
              </w:rPr>
              <w:t>RECITALS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b/>
              </w:rPr>
            </w:pPr>
            <w:r>
              <w:rPr>
                <w:b/>
              </w:rPr>
              <w:t>1</w:t>
            </w:r>
          </w:p>
        </w:tc>
        <w:tc>
          <w:tcPr>
            <w:tcW w:w="65"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283"/>
              <w:jc w:val="left"/>
              <w:rPr>
                <w:b/>
              </w:rPr>
            </w:pPr>
            <w:r>
              <w:rPr>
                <w:b/>
              </w:rPr>
              <w:t>ARTICLE I DEFINITIONS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b/>
              </w:rPr>
            </w:pPr>
            <w:r>
              <w:rPr>
                <w:b/>
              </w:rPr>
              <w:t>2</w:t>
            </w:r>
          </w:p>
        </w:tc>
        <w:tc>
          <w:tcPr>
            <w:tcW w:w="65"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Definitional and Interpretative Provisions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283"/>
              <w:jc w:val="left"/>
              <w:rPr>
                <w:b/>
              </w:rPr>
            </w:pPr>
            <w:r>
              <w:rPr>
                <w:b/>
              </w:rPr>
              <w:t>ARTICLE II DETERMINATION OF CERTAIN REALIZED TAX BENEFITS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b/>
              </w:rPr>
            </w:pPr>
            <w:r>
              <w:rPr>
                <w:b/>
              </w:rPr>
              <w:t>13</w:t>
            </w:r>
          </w:p>
        </w:tc>
        <w:tc>
          <w:tcPr>
            <w:tcW w:w="65"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Exchange Schedule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 Blocker Attributes Schedule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Corporate Attributes Schedule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Tax Benefit Schedule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Procedure: Amendments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283"/>
              <w:jc w:val="left"/>
              <w:rPr>
                <w:b/>
              </w:rPr>
            </w:pPr>
            <w:r>
              <w:rPr>
                <w:b/>
              </w:rPr>
              <w:t>ARTICLE III TAX BENEFIT PAYMENTS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b/>
              </w:rPr>
            </w:pPr>
            <w:r>
              <w:rPr>
                <w:b/>
              </w:rPr>
              <w:t>16</w:t>
            </w:r>
          </w:p>
        </w:tc>
        <w:tc>
          <w:tcPr>
            <w:tcW w:w="65"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No Duplicative Payments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Coordination of Benefits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Threshold Exchange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283"/>
              <w:jc w:val="left"/>
              <w:rPr>
                <w:b/>
              </w:rPr>
            </w:pPr>
            <w:r>
              <w:rPr>
                <w:b/>
              </w:rPr>
              <w:t>ARTICLE IV TERMINATION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b/>
              </w:rPr>
            </w:pPr>
            <w:r>
              <w:rPr>
                <w:b/>
              </w:rPr>
              <w:t>18</w:t>
            </w:r>
          </w:p>
        </w:tc>
        <w:tc>
          <w:tcPr>
            <w:tcW w:w="65"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by the Corporation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upon Change of Control</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Breach of Agreement</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Notice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Payment upon Early Termination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283"/>
              <w:jc w:val="left"/>
              <w:rPr>
                <w:b/>
              </w:rPr>
            </w:pPr>
            <w:r>
              <w:rPr>
                <w:b/>
              </w:rPr>
              <w:t>ARTICLE V SUBORDINATION AND LATE PAYMENTS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b/>
              </w:rPr>
            </w:pPr>
            <w:r>
              <w:rPr>
                <w:b/>
              </w:rPr>
              <w:t>20</w:t>
            </w:r>
          </w:p>
        </w:tc>
        <w:tc>
          <w:tcPr>
            <w:tcW w:w="65"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Subordination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Late Payments by the Corporation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283"/>
              <w:jc w:val="left"/>
              <w:rPr>
                <w:b/>
              </w:rPr>
            </w:pPr>
            <w:r>
              <w:rPr>
                <w:b/>
              </w:rPr>
              <w:t>ARTICLE VI PARTICIPATION IN TAX MATTERS; CONSISTENCY; COOPERATION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b/>
              </w:rPr>
            </w:pPr>
            <w:r>
              <w:rPr>
                <w:b/>
              </w:rPr>
              <w:t>21</w:t>
            </w:r>
          </w:p>
        </w:tc>
        <w:tc>
          <w:tcPr>
            <w:tcW w:w="65"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Participation in the Corporation’s Tax Matters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Consistency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128" w:type="dxa"/>
            <w:tcBorders/>
            <w:vAlign w:val="bottom"/>
          </w:tcPr>
          <w:p>
            <w:pPr>
              <w:pStyle w:val="TableContents"/>
              <w:bidi w:val="0"/>
              <w:spacing w:before="0" w:after="283"/>
              <w:jc w:val="left"/>
              <w:rPr/>
            </w:pPr>
            <w:r>
              <w:rPr/>
              <w:t> </w:t>
            </w:r>
          </w:p>
        </w:tc>
        <w:tc>
          <w:tcPr>
            <w:tcW w:w="7431" w:type="dxa"/>
            <w:tcBorders/>
          </w:tcPr>
          <w:p>
            <w:pPr>
              <w:pStyle w:val="TableContents"/>
              <w:bidi w:val="0"/>
              <w:spacing w:before="0" w:after="0"/>
              <w:jc w:val="left"/>
              <w:rPr>
                <w:rFonts w:ascii="Times New Roman" w:hAnsi="Times New Roman"/>
                <w:sz w:val="20"/>
              </w:rPr>
            </w:pPr>
            <w:r>
              <w:rPr>
                <w:rFonts w:ascii="Times New Roman" w:hAnsi="Times New Roman"/>
                <w:sz w:val="20"/>
              </w:rPr>
              <w:t>Cooperation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69"/>
        <w:gridCol w:w="123"/>
        <w:gridCol w:w="7666"/>
        <w:gridCol w:w="164"/>
        <w:gridCol w:w="60"/>
        <w:gridCol w:w="260"/>
        <w:gridCol w:w="63"/>
      </w:tblGrid>
      <w:tr>
        <w:trPr/>
        <w:tc>
          <w:tcPr>
            <w:tcW w:w="186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MISCELLANEOUS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22</w:t>
            </w:r>
          </w:p>
        </w:tc>
        <w:tc>
          <w:tcPr>
            <w:tcW w:w="63" w:type="dxa"/>
            <w:tcBorders/>
            <w:vAlign w:val="bottom"/>
          </w:tcPr>
          <w:p>
            <w:pPr>
              <w:pStyle w:val="TableContents"/>
              <w:bidi w:val="0"/>
              <w:spacing w:before="0" w:after="283"/>
              <w:jc w:val="left"/>
              <w:rPr/>
            </w:pPr>
            <w:r>
              <w:rPr/>
              <w:t> </w:t>
            </w:r>
          </w:p>
        </w:tc>
      </w:tr>
      <w:tr>
        <w:trPr>
          <w:trHeight w:val="120" w:hRule="atLeast"/>
        </w:trPr>
        <w:tc>
          <w:tcPr>
            <w:tcW w:w="1869" w:type="dxa"/>
            <w:tcBorders/>
            <w:vAlign w:val="center"/>
          </w:tcPr>
          <w:p>
            <w:pPr>
              <w:pStyle w:val="TableContents"/>
              <w:bidi w:val="0"/>
              <w:spacing w:before="0" w:after="283"/>
              <w:jc w:val="left"/>
              <w:rPr>
                <w:sz w:val="4"/>
                <w:szCs w:val="4"/>
              </w:rPr>
            </w:pPr>
            <w:r>
              <w:rPr>
                <w:sz w:val="4"/>
                <w:szCs w:val="4"/>
              </w:rPr>
            </w:r>
          </w:p>
        </w:tc>
        <w:tc>
          <w:tcPr>
            <w:tcW w:w="7789"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No Third Party Beneficiaries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7.4</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7.5</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7.6</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Assignment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7.7</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Amendments: Waivers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7.8</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Titles and Subtitles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7.9</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Reconciliation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7.10</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Consent to Jurisdiction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7.11</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7.12</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7.13</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Admission of the Corporation into a Consolidated Group; Transfers of Corporate Assets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7.14</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7.15</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No Similar Agreements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7.16</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0"/>
              <w:jc w:val="left"/>
              <w:rPr>
                <w:rFonts w:ascii="Times New Roman" w:hAnsi="Times New Roman"/>
                <w:sz w:val="20"/>
              </w:rPr>
            </w:pPr>
            <w:r>
              <w:rPr>
                <w:rFonts w:ascii="Times New Roman" w:hAnsi="Times New Roman"/>
                <w:sz w:val="20"/>
              </w:rPr>
              <w:t>Change in Law</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7.17</w:t>
            </w:r>
          </w:p>
        </w:tc>
        <w:tc>
          <w:tcPr>
            <w:tcW w:w="123" w:type="dxa"/>
            <w:tcBorders/>
            <w:vAlign w:val="bottom"/>
          </w:tcPr>
          <w:p>
            <w:pPr>
              <w:pStyle w:val="TableContents"/>
              <w:bidi w:val="0"/>
              <w:spacing w:before="0" w:after="283"/>
              <w:jc w:val="left"/>
              <w:rPr/>
            </w:pPr>
            <w:r>
              <w:rPr/>
              <w:t> </w:t>
            </w:r>
          </w:p>
        </w:tc>
        <w:tc>
          <w:tcPr>
            <w:tcW w:w="7666" w:type="dxa"/>
            <w:tcBorders/>
          </w:tcPr>
          <w:p>
            <w:pPr>
              <w:pStyle w:val="TableContents"/>
              <w:bidi w:val="0"/>
              <w:spacing w:before="0" w:after="283"/>
              <w:jc w:val="left"/>
              <w:rPr/>
            </w:pPr>
            <w:r>
              <w:rPr/>
              <w:t>Agent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TAX RECEIVABLE AGREEMENT </w:t>
      </w:r>
    </w:p>
    <w:p>
      <w:pPr>
        <w:pStyle w:val="TextBody"/>
        <w:bidi w:val="0"/>
        <w:spacing w:before="240" w:after="0"/>
        <w:jc w:val="left"/>
        <w:rPr>
          <w:rFonts w:ascii="Times New Roman" w:hAnsi="Times New Roman"/>
          <w:sz w:val="20"/>
        </w:rPr>
      </w:pPr>
      <w:r>
        <w:rPr>
          <w:rFonts w:ascii="Times New Roman" w:hAnsi="Times New Roman"/>
          <w:sz w:val="20"/>
        </w:rPr>
        <w:t>This TAX RECEIVABLE AGREEMENT (this “</w:t>
      </w:r>
      <w:r>
        <w:rPr>
          <w:rFonts w:ascii="Times New Roman" w:hAnsi="Times New Roman"/>
          <w:sz w:val="20"/>
          <w:u w:val="single"/>
        </w:rPr>
        <w:t>Agreement</w:t>
      </w:r>
      <w:r>
        <w:rPr>
          <w:rFonts w:ascii="Times New Roman" w:hAnsi="Times New Roman"/>
          <w:sz w:val="20"/>
        </w:rPr>
        <w:t>”), dated as of July 1, 2026, is hereby entered into by and among ITG, Inc., a Delaware corporation (the “</w:t>
      </w:r>
      <w:r>
        <w:rPr>
          <w:rFonts w:ascii="Times New Roman" w:hAnsi="Times New Roman"/>
          <w:sz w:val="20"/>
          <w:u w:val="single"/>
        </w:rPr>
        <w:t>Corporation</w:t>
      </w:r>
      <w:r>
        <w:rPr>
          <w:rFonts w:ascii="Times New Roman" w:hAnsi="Times New Roman"/>
          <w:sz w:val="20"/>
        </w:rPr>
        <w:t>”), ITG Parent, LLC, a Delaware limited liability company (the “</w:t>
      </w:r>
      <w:r>
        <w:rPr>
          <w:rFonts w:ascii="Times New Roman" w:hAnsi="Times New Roman"/>
          <w:sz w:val="20"/>
          <w:u w:val="single"/>
        </w:rPr>
        <w:t>Company</w:t>
      </w:r>
      <w:r>
        <w:rPr>
          <w:rFonts w:ascii="Times New Roman" w:hAnsi="Times New Roman"/>
          <w:sz w:val="20"/>
        </w:rPr>
        <w:t>”), each of the persons listed on Exhibit A from time to time a party hereto (the “</w:t>
      </w:r>
      <w:r>
        <w:rPr>
          <w:rFonts w:ascii="Times New Roman" w:hAnsi="Times New Roman"/>
          <w:sz w:val="20"/>
          <w:u w:val="single"/>
        </w:rPr>
        <w:t>TRA Holders</w:t>
      </w:r>
      <w:r>
        <w:rPr>
          <w:rFonts w:ascii="Times New Roman" w:hAnsi="Times New Roman"/>
          <w:sz w:val="20"/>
        </w:rPr>
        <w:t>” and each a “</w:t>
      </w:r>
      <w:r>
        <w:rPr>
          <w:rFonts w:ascii="Times New Roman" w:hAnsi="Times New Roman"/>
          <w:sz w:val="20"/>
          <w:u w:val="single"/>
        </w:rPr>
        <w:t>TRA Holder</w:t>
      </w:r>
      <w:r>
        <w:rPr>
          <w:rFonts w:ascii="Times New Roman" w:hAnsi="Times New Roman"/>
          <w:sz w:val="20"/>
        </w:rPr>
        <w:t xml:space="preserve">”), and the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Company, which is classified as a partnership for U.S. federal income tax purposes, has issued (and may after the Closing Date issue) limited liability company interests (“</w:t>
      </w:r>
      <w:r>
        <w:rPr>
          <w:rFonts w:ascii="Times New Roman" w:hAnsi="Times New Roman"/>
          <w:sz w:val="20"/>
          <w:u w:val="single"/>
        </w:rPr>
        <w:t>Units</w:t>
      </w:r>
      <w:r>
        <w:rPr>
          <w:rFonts w:ascii="Times New Roman" w:hAnsi="Times New Roman"/>
          <w:sz w:val="20"/>
        </w:rPr>
        <w:t xml:space="preserve">”) to certain Persons, providing such Persons an interest in the profits and/or losses of and distributions from the Company; </w:t>
      </w:r>
    </w:p>
    <w:p>
      <w:pPr>
        <w:pStyle w:val="TextBody"/>
        <w:bidi w:val="0"/>
        <w:spacing w:before="240" w:after="0"/>
        <w:jc w:val="left"/>
        <w:rPr>
          <w:rFonts w:ascii="Times New Roman" w:hAnsi="Times New Roman"/>
          <w:sz w:val="20"/>
        </w:rPr>
      </w:pPr>
      <w:r>
        <w:rPr>
          <w:rFonts w:ascii="Times New Roman" w:hAnsi="Times New Roman"/>
          <w:sz w:val="20"/>
        </w:rPr>
        <w:t>WHEREAS, on the Closing Date, the Corporation will issue shares of its Class A Common Stock to certain purchasers in an initial public offering of its Class A Common Stock (the “</w:t>
      </w:r>
      <w:r>
        <w:rPr>
          <w:rFonts w:ascii="Times New Roman" w:hAnsi="Times New Roman"/>
          <w:sz w:val="20"/>
          <w:u w:val="single"/>
        </w:rPr>
        <w:t>IPO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on the Closing Date, the Corporation Group will acquire Units from the Company or other holders of Units (the “</w:t>
      </w:r>
      <w:r>
        <w:rPr>
          <w:rFonts w:ascii="Times New Roman" w:hAnsi="Times New Roman"/>
          <w:sz w:val="20"/>
          <w:u w:val="single"/>
        </w:rPr>
        <w:t>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from and after the closing of the IPO, under certain circumstances, (i) each member of the Company (other than the Corporation Group) will have the right from time to time to require the Company to redeem all or a portion of such member’s Units (and, in connection with such redemption, a corresponding number of shares of Class B Common Stock held by the relevant member will automatically be transferred to the Corporation for no consideration and canceled) for, at the election of the Corporation, either cash or shares of Class A Common Stock, which may be effected, at the election of the Corporation, as a direct exchange by the Corporation Group of shares of Class A Common Stock or cash for such Units (and, in either case, any such corresponding shares of Class B Common Stock will be automatically transferred to the Corporation for no consideration and cancelled), (ii) the Corporation Group may otherwise acquire Units from a member of the Company (other than the Corporation Group) or from the Company in a transaction that is treated as a disguised sale of Units for U.S. federal income tax purposes, and (iii) the Company may make one or more distributions (including deemed distributions) to its members in respect of their Units that result in a Basis Adjustment (any such transaction described in clause (i), clause (ii), or clause (iii), including (for the avoidance of doubt) any such transaction occurring in connection with a Change of Control, in each case, an “</w:t>
      </w:r>
      <w:r>
        <w:rPr>
          <w:rFonts w:ascii="Times New Roman" w:hAnsi="Times New Roman"/>
          <w:sz w:val="20"/>
          <w:u w:val="single"/>
        </w:rPr>
        <w:t>Exchange</w:t>
      </w:r>
      <w:r>
        <w:rPr>
          <w:rFonts w:ascii="Times New Roman" w:hAnsi="Times New Roman"/>
          <w:sz w:val="20"/>
        </w:rPr>
        <w:t xml:space="preserve">”), and as a result of any such Exchange, the Corporation is expected to obtain or be entitled to certain Tax benefits as further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each of its direct and indirect Subsidiaries that is treated as a partnership for U.S. federal income tax purposes will have in effect an election under Section 754 of the Code and any corresponding provisions of state and local Tax law for the Taxable Year that includes the Closing Date and each Taxable Year in which an Exchange occurs, which election is expected to result, with respect to the Corporation, in an adjustment to the Tax basis of the assets owned by the Company and such Subsidiaries in connection with the Purchase and each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ITG Blocker, LLC, a Delaware limited liability company (the “</w:t>
      </w:r>
      <w:r>
        <w:rPr>
          <w:rFonts w:ascii="Times New Roman" w:hAnsi="Times New Roman"/>
          <w:sz w:val="20"/>
          <w:u w:val="single"/>
        </w:rPr>
        <w:t>Blocker</w:t>
      </w:r>
      <w:r>
        <w:rPr>
          <w:rFonts w:ascii="Times New Roman" w:hAnsi="Times New Roman"/>
          <w:sz w:val="20"/>
        </w:rPr>
        <w:t>”), is taxable as a corporation for U.S. federal income tax purposes and, immediately prior to the Reorganization Transactions, is wholly owned by OCM Power VI AIV Holdings (Delaware), L.P. (“</w:t>
      </w:r>
      <w:r>
        <w:rPr>
          <w:rFonts w:ascii="Times New Roman" w:hAnsi="Times New Roman"/>
          <w:sz w:val="20"/>
          <w:u w:val="single"/>
        </w:rPr>
        <w:t>Blocker Owner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Blocker Owner has entered into certain reorganization transactions with the Corporation in connection with the Blocker Mergers (the “</w:t>
      </w:r>
      <w:r>
        <w:rPr>
          <w:rFonts w:ascii="Times New Roman" w:hAnsi="Times New Roman"/>
          <w:sz w:val="20"/>
          <w:u w:val="single"/>
        </w:rPr>
        <w:t>Reorganization Transactions</w:t>
      </w:r>
      <w:r>
        <w:rPr>
          <w:rFonts w:ascii="Times New Roman" w:hAnsi="Times New Roman"/>
          <w:sz w:val="20"/>
        </w:rPr>
        <w:t xml:space="preserve">”), and as a result of such transactions the Corporation Group has succeeded to certain Tax attributes of the Blocker as further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certain Tax attributes attributable to the assets it owns (or is deemed to own) immediately prior to the Reorganization Transactions as further described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intended to set forth the agreements among the parties hereto regarding the sharing of the Tax benefits realized by the Corporation as a result of (i) the Purchase, (ii) the Exchanges, (iii) the Reorganization Transactions, (iv) the Common Basis and (v) certain of the payments made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covenants and agreements set forth herein, and intending to be legally bound hereby,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As used in this Agreement, the terms set forth in this </w:t>
      </w:r>
      <w:r>
        <w:rPr>
          <w:rFonts w:ascii="Times New Roman" w:hAnsi="Times New Roman"/>
          <w:sz w:val="20"/>
          <w:u w:val="single"/>
        </w:rPr>
        <w:t>Article I</w:t>
      </w:r>
      <w:r>
        <w:rPr>
          <w:rFonts w:ascii="Times New Roman" w:hAnsi="Times New Roman"/>
          <w:sz w:val="20"/>
        </w:rPr>
        <w:t xml:space="preserve"> shall have the following meanings (such meanings to be equally applicable to both the singular and plural forms of the terms defined). </w:t>
      </w:r>
    </w:p>
    <w:p>
      <w:pPr>
        <w:pStyle w:val="TextBody"/>
        <w:bidi w:val="0"/>
        <w:spacing w:before="240" w:after="0"/>
        <w:jc w:val="left"/>
        <w:rPr/>
      </w:pPr>
      <w:r>
        <w:rPr/>
        <w:t>“</w:t>
      </w:r>
      <w:r>
        <w:rPr>
          <w:rFonts w:ascii="Times New Roman" w:hAnsi="Times New Roman"/>
          <w:sz w:val="20"/>
          <w:u w:val="single"/>
        </w:rPr>
        <w:t>Accrued Amount</w:t>
      </w:r>
      <w:r>
        <w:rPr>
          <w:rFonts w:ascii="Times New Roman" w:hAnsi="Times New Roman"/>
          <w:sz w:val="20"/>
        </w:rPr>
        <w:t xml:space="preserve">” has the meaning set forth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Actual Tax Liability</w:t>
      </w:r>
      <w:r>
        <w:rPr>
          <w:rFonts w:ascii="Times New Roman" w:hAnsi="Times New Roman"/>
          <w:sz w:val="20"/>
        </w:rPr>
        <w:t xml:space="preserve">” means, with respect to any Taxable Year, the sum of (x) (i) the liability for U.S. federal income Taxes of the Corporation Group (calculated by assuming, in order to avoid double counting, that state and local Taxes are not deductible by the Corporation Group for U.S. federal income Tax purposes) and (ii) without duplication, the portion of any liability for U.S. federal income Taxes imposed directly on the Company (or the Company’s applicable Subsidiaries or other Persons in which the Company owns a direct or indirect equity interest), but only with respect to such Taxes (including under Section 6225 of the Code or any similar provision of state, local, or non-U.S. law) imposed on the taxable income of the Company (or such applicable Subsidiaries or other Persons) that is allocable to the Corporation Group (including under Section 704 of the Code or any similar provision of state, local, or non-U.S. law) or otherwise attributable to the Corporation Group in accordance with the LLC Agreement (in each case, using the same methods, elections, conventions, and similar practices used on the relevant Corporation Return) and (y) the product of (i) the amount of the U.S. federal taxable income for such Taxable Year reported on the Corporation’s IRS Form 1120 (or any successor form) (calculated by excluding deductions for state and local Taxes) and (ii) the Assumed State and Local Tax Rate. The Actual Tax Liability shall be determined using reasonable estimation methodologies for calculating the portion of any of the foregoing items attributable to U.S. state or local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before="240" w:after="0"/>
        <w:jc w:val="left"/>
        <w:rPr/>
      </w:pPr>
      <w:r>
        <w:rPr/>
        <w:t>“</w:t>
      </w:r>
      <w:r>
        <w:rPr>
          <w:rFonts w:ascii="Times New Roman" w:hAnsi="Times New Roman"/>
          <w:sz w:val="20"/>
          <w:u w:val="single"/>
        </w:rPr>
        <w:t>Agent</w:t>
      </w:r>
      <w:r>
        <w:rPr>
          <w:rFonts w:ascii="Times New Roman" w:hAnsi="Times New Roman"/>
          <w:sz w:val="20"/>
        </w:rPr>
        <w:t xml:space="preserve">” means ITG MH Manager, LLC or such other Person designated as such pursuant to </w:t>
      </w:r>
      <w:r>
        <w:rPr>
          <w:rFonts w:ascii="Times New Roman" w:hAnsi="Times New Roman"/>
          <w:sz w:val="20"/>
          <w:u w:val="single"/>
        </w:rPr>
        <w:t>Section 7.17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Agreed Rate</w:t>
      </w:r>
      <w:r>
        <w:rPr>
          <w:rFonts w:ascii="Times New Roman" w:hAnsi="Times New Roman"/>
          <w:sz w:val="20"/>
        </w:rPr>
        <w:t xml:space="preserve">” means a per annum rate of SOFR plus 100 basis points.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Amended Schedule</w:t>
      </w:r>
      <w:r>
        <w:rPr>
          <w:rFonts w:ascii="Times New Roman" w:hAnsi="Times New Roman"/>
          <w:sz w:val="20"/>
        </w:rPr>
        <w:t xml:space="preserve">” has the meaning set forth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Assumed State and Local Tax Rate</w:t>
      </w:r>
      <w:r>
        <w:rPr>
          <w:rFonts w:ascii="Times New Roman" w:hAnsi="Times New Roman"/>
          <w:sz w:val="20"/>
        </w:rPr>
        <w:t xml:space="preserve">” means the tax rate equal to the sum of the product of (x) the Company’s income and franchise Tax apportionment rate(s) for each state and local jurisdiction in which the Company files income or franchise Tax Returns for the relevant Taxable Year and (y) the highest corporate income and franchise Tax rate(s) for each such state and local jurisdiction in which the Company files income or franchise Tax Returns for such relevant Taxable Year; provided, that the Assumed State and Local Tax Rate calculated pursuant to the foregoing shall be reduced by the assumed federal income Tax benefit received by the Corporation with respect to state and local jurisdiction income and franchise Taxes (with such benefit calculated as the product of (a) the Corporation’s marginal U.S. federal income tax rate for the relevant Taxable Year and (b) the Assumed State and Local Tax Rate (without regard to this proviso)). As an illustration of the calculation of the Assumed State and Local Tax Rate for a Taxable Year (before taking into account any U.S. federal benefit of state or local tax deductions), if the Corporation Group solely files Tax Returns in State 1 and State 2 in a Taxable Year (and no local jurisdictions), the maximum applicable corporate Tax rates in effect in such states in such Taxable Year are 6.5% and 5.5%, respectively, and the apportionment factors for such states in such Taxable Year are 55% and 45% respectively, then the Assumed State and Local Tax Rate for such Taxable Year is equal to 6.05% (i.e., 6.5% multiplied by 55% plus 5.5% multiplied by 45%). </w:t>
      </w:r>
    </w:p>
    <w:p>
      <w:pPr>
        <w:pStyle w:val="TextBody"/>
        <w:bidi w:val="0"/>
        <w:spacing w:before="240" w:after="0"/>
        <w:jc w:val="left"/>
        <w:rPr/>
      </w:pPr>
      <w:r>
        <w:rPr/>
        <w:t>“</w:t>
      </w:r>
      <w:r>
        <w:rPr>
          <w:rFonts w:ascii="Times New Roman" w:hAnsi="Times New Roman"/>
          <w:sz w:val="20"/>
          <w:u w:val="single"/>
        </w:rPr>
        <w:t>Authorized Recipient</w:t>
      </w:r>
      <w:r>
        <w:rPr>
          <w:rFonts w:ascii="Times New Roman" w:hAnsi="Times New Roman"/>
          <w:sz w:val="20"/>
        </w:rPr>
        <w:t xml:space="preserve">” has the meaning set forth in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Basis Adjustment</w:t>
      </w:r>
      <w:r>
        <w:rPr>
          <w:rFonts w:ascii="Times New Roman" w:hAnsi="Times New Roman"/>
          <w:sz w:val="20"/>
        </w:rPr>
        <w:t xml:space="preserve">” means any adjustment to the Tax basis of a Reference Asset as a result of (i) the Purchase or (ii) an Exchange and the payments made pursuant to this Agreement with respect to the Purchase or such Exchange (as calculated under </w:t>
      </w:r>
      <w:r>
        <w:rPr>
          <w:rFonts w:ascii="Times New Roman" w:hAnsi="Times New Roman"/>
          <w:sz w:val="20"/>
          <w:u w:val="single"/>
        </w:rPr>
        <w:t>Article II</w:t>
      </w:r>
      <w:r>
        <w:rPr>
          <w:rFonts w:ascii="Times New Roman" w:hAnsi="Times New Roman"/>
          <w:sz w:val="20"/>
        </w:rPr>
        <w:t xml:space="preserv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under Sections 734(b), 743(b), 754 and 755 of the Code (in situations where, following an Exchange, the Company remains classified as a partnership for U.S. federal income tax purposes);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under Sections 704(c)(1)(B), 732(b), 734(b), 737 and 1012 of the Code and, without duplication, as a result of any basis adjustment to which the Company or Corporation Group (without duplication) succeeds, including pursuant to Treasury Regulations Section 1.743-1(g)(3) and any subsequent similar guidance and comparable sections of U.S. state and local income and franchise tax law (in situations where, as a result of one or more Exchanges, the Company or any of the Company’s Subsidiaries becomes an entity that is disregarded as separate from its owner for U.S. federal income tax purposes), and in each case, comparable sections of state and local Tax laws.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(X) the amount of any Basis Adjustment resulting from an Exchange of Units shall be determined without regard to any adjustment under Section 743(b) of the Code attributable to such Units prior to such Exchange and (Y) payments made under this Agreement shall not be treated as resulting in a Basis Adjustment to the extent such payments are (a) made to Blocker Owner (or their successors or assigns) or (b) treated as Imputed Interest. </w:t>
      </w:r>
    </w:p>
    <w:p>
      <w:pPr>
        <w:pStyle w:val="TextBody"/>
        <w:bidi w:val="0"/>
        <w:spacing w:before="240" w:after="0"/>
        <w:jc w:val="left"/>
        <w:rPr/>
      </w:pPr>
      <w:r>
        <w:rPr/>
        <w:t>“</w:t>
      </w:r>
      <w:r>
        <w:rPr>
          <w:rFonts w:ascii="Times New Roman" w:hAnsi="Times New Roman"/>
          <w:sz w:val="20"/>
          <w:u w:val="single"/>
        </w:rPr>
        <w:t>Beneficial Owner</w:t>
      </w:r>
      <w:r>
        <w:rPr>
          <w:rFonts w:ascii="Times New Roman" w:hAnsi="Times New Roman"/>
          <w:sz w:val="20"/>
        </w:rPr>
        <w:t xml:space="preserve">” means, with respect to a security, a Person who directly or indirectly, through any contract, arrangement, understanding, relationship or otherwise, has or shares: </w:t>
      </w:r>
    </w:p>
    <w:p>
      <w:pPr>
        <w:pStyle w:val="TextBody"/>
        <w:bidi w:val="0"/>
        <w:spacing w:before="120" w:after="0"/>
        <w:jc w:val="left"/>
        <w:rPr>
          <w:rFonts w:ascii="Times New Roman" w:hAnsi="Times New Roman"/>
          <w:sz w:val="20"/>
        </w:rPr>
      </w:pPr>
      <w:r>
        <w:rPr>
          <w:rFonts w:ascii="Times New Roman" w:hAnsi="Times New Roman"/>
          <w:sz w:val="20"/>
        </w:rPr>
        <w:t xml:space="preserve">(i) voting power, which includes the power to vote, or to direct the voting of, such security and/or </w:t>
      </w:r>
    </w:p>
    <w:p>
      <w:pPr>
        <w:pStyle w:val="TextBody"/>
        <w:bidi w:val="0"/>
        <w:spacing w:before="240" w:after="0"/>
        <w:jc w:val="left"/>
        <w:rPr>
          <w:rFonts w:ascii="Times New Roman" w:hAnsi="Times New Roman"/>
          <w:sz w:val="20"/>
        </w:rPr>
      </w:pPr>
      <w:r>
        <w:rPr>
          <w:rFonts w:ascii="Times New Roman" w:hAnsi="Times New Roman"/>
          <w:sz w:val="20"/>
        </w:rPr>
        <w:t xml:space="preserve">(ii) investment power, which includes the power to dispose of, or to direct the disposition of, such security. </w:t>
      </w:r>
    </w:p>
    <w:p>
      <w:pPr>
        <w:pStyle w:val="TextBody"/>
        <w:bidi w:val="0"/>
        <w:spacing w:before="240" w:after="0"/>
        <w:jc w:val="left"/>
        <w:rPr>
          <w:rFonts w:ascii="Times New Roman" w:hAnsi="Times New Roman"/>
          <w:sz w:val="20"/>
        </w:rPr>
      </w:pPr>
      <w:r>
        <w:rPr>
          <w:rFonts w:ascii="Times New Roman" w:hAnsi="Times New Roman"/>
          <w:sz w:val="20"/>
        </w:rPr>
        <w:t>The terms “</w:t>
      </w:r>
      <w:r>
        <w:rPr>
          <w:rFonts w:ascii="Times New Roman" w:hAnsi="Times New Roman"/>
          <w:sz w:val="20"/>
          <w:u w:val="single"/>
        </w:rPr>
        <w:t>Beneficially Own</w:t>
      </w:r>
      <w:r>
        <w:rPr>
          <w:rFonts w:ascii="Times New Roman" w:hAnsi="Times New Roman"/>
          <w:sz w:val="20"/>
        </w:rPr>
        <w:t>” and “</w:t>
      </w:r>
      <w:r>
        <w:rPr>
          <w:rFonts w:ascii="Times New Roman" w:hAnsi="Times New Roman"/>
          <w:sz w:val="20"/>
          <w:u w:val="single"/>
        </w:rPr>
        <w:t>Beneficial Ownership</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sz w:val="20"/>
          <w:u w:val="single"/>
        </w:rPr>
        <w:t>Blocker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Blocker Mergers</w:t>
      </w:r>
      <w:r>
        <w:rPr>
          <w:rFonts w:ascii="Times New Roman" w:hAnsi="Times New Roman"/>
          <w:sz w:val="20"/>
        </w:rPr>
        <w:t xml:space="preserve">” means those certain merger transactions consummated on or prior to the Closing Date and any transaction related thereto, which resulted in Blocker merging with and into ITG Intermediate, LLC. </w:t>
      </w:r>
    </w:p>
    <w:p>
      <w:pPr>
        <w:pStyle w:val="TextBody"/>
        <w:bidi w:val="0"/>
        <w:spacing w:before="240" w:after="0"/>
        <w:jc w:val="left"/>
        <w:rPr/>
      </w:pPr>
      <w:r>
        <w:rPr/>
        <w:t>“</w:t>
      </w:r>
      <w:r>
        <w:rPr>
          <w:rFonts w:ascii="Times New Roman" w:hAnsi="Times New Roman"/>
          <w:sz w:val="20"/>
          <w:u w:val="single"/>
        </w:rPr>
        <w:t>Blocker Owner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directors of the Corporation.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Sunday or other day on which the banks in New York are authorized by law to be closed. </w:t>
      </w:r>
    </w:p>
    <w:p>
      <w:pPr>
        <w:pStyle w:val="TextBody"/>
        <w:bidi w:val="0"/>
        <w:spacing w:before="240" w:after="0"/>
        <w:jc w:val="left"/>
        <w:rPr/>
      </w:pPr>
      <w:r>
        <w:rPr/>
        <w:t>“</w:t>
      </w:r>
      <w:r>
        <w:rPr>
          <w:rFonts w:ascii="Times New Roman" w:hAnsi="Times New Roman"/>
          <w:sz w:val="20"/>
          <w:u w:val="single"/>
        </w:rPr>
        <w:t>Certificate of Incorporation</w:t>
      </w:r>
      <w:r>
        <w:rPr>
          <w:rFonts w:ascii="Times New Roman" w:hAnsi="Times New Roman"/>
          <w:sz w:val="20"/>
        </w:rPr>
        <w:t xml:space="preserve">” means the amended and restated certificate of incorporation of the Corporation, as in effect on the date hereof, as may be further amended or amended and restated from time to time.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(i) any “person” or “group” (within the meaning of Sections 13(d) of the Exchange Act (excluding any “person” or “group” who, on the Closing Date, is the Beneficial Owner of securities of the Corporation representing more than 50% of the combined voting power of the Corporation’s then outstanding voting securities)) becomes the Beneficial Owner of securities of the Corporation representing more than 50% of the combined voting power of the Corporation’s then outstanding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the shareholders of the Corporation approve a plan of complete liquidation or dissolution of Corporation or (B) there is consummated an agreement or series of related agreements for the sale or other disposition, directly or indirectly, by the Corporation of all or substantially all of the Corporation’s assets, other than such sale or other disposition by the Corporation of all or substantially all of the Corporation’s assets to an entity at least 50% of the combined voting power of the voting securities of which are owned by shareholders of the Corporation in substantially the same proportions as their ownership of the Corporation immediately prior to such sale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(iii) there is consummated a merger or consolidation of the Corporation with any other corporation or other entity, and, immediately after the consummation of such merger or consolidation, either (A) the board of directors of the Corporation immediately prior to the merger or consolidation does not constitute at least a majority of the board of directors of the company surviving the merger or consolidation or, if the surviving company is a Subsidiary, the ultimate parent thereof, or (B) all of the Persons who were the respective Beneficial Owners of the voting securities of the Corporation immediately prior to such merger or consolidation do not Beneficially Own, directly or indirectly, more than 50% of the combined voting power of the then outstanding voting securities of the Person resulting from such merger or consolidation; or </w:t>
      </w:r>
    </w:p>
    <w:p>
      <w:pPr>
        <w:pStyle w:val="TextBody"/>
        <w:bidi w:val="0"/>
        <w:spacing w:before="240" w:after="0"/>
        <w:jc w:val="left"/>
        <w:rPr>
          <w:rFonts w:ascii="Times New Roman" w:hAnsi="Times New Roman"/>
          <w:sz w:val="20"/>
        </w:rPr>
      </w:pPr>
      <w:r>
        <w:rPr>
          <w:rFonts w:ascii="Times New Roman" w:hAnsi="Times New Roman"/>
          <w:sz w:val="20"/>
        </w:rPr>
        <w:t xml:space="preserve">(iv) the following individuals cease for any reason to constitute a majority of the number of directors of the Corporation then serving: (A) on or before the Trigger Event, individuals who, on the Closing Date, constitute the Board and any new director designated for nomination by the Sponsor in accordance with the Corporation Charter and (B) following the Trigger Event, individuals who were directors of the Corporation on the Closing Date or any new director whose appointment or election to the Board or nomination for election by the Corporation’s shareholders was approved or recommended by a vote of at least two-thirds (2/3) of the directors then still in office who either were directors of the Corporation on the Closing Date or whose appointment, election or nomination for election was previously so approved or recommended by the directors referred to in this clause (iv), excluding any such director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w:t>
      </w:r>
    </w:p>
    <w:p>
      <w:pPr>
        <w:pStyle w:val="TextBody"/>
        <w:bidi w:val="0"/>
        <w:spacing w:before="240" w:after="0"/>
        <w:jc w:val="left"/>
        <w:rPr>
          <w:rFonts w:ascii="Times New Roman" w:hAnsi="Times New Roman"/>
          <w:sz w:val="20"/>
        </w:rPr>
      </w:pPr>
      <w:r>
        <w:rPr>
          <w:rFonts w:ascii="Times New Roman" w:hAnsi="Times New Roman"/>
          <w:sz w:val="20"/>
        </w:rPr>
        <w:t>Notwithstanding the foregoing, a “</w:t>
      </w:r>
      <w:r>
        <w:rPr>
          <w:rFonts w:ascii="Times New Roman" w:hAnsi="Times New Roman"/>
          <w:sz w:val="20"/>
          <w:u w:val="single"/>
        </w:rPr>
        <w:t>Change of Control</w:t>
      </w:r>
      <w:r>
        <w:rPr>
          <w:rFonts w:ascii="Times New Roman" w:hAnsi="Times New Roman"/>
          <w:sz w:val="20"/>
        </w:rPr>
        <w:t xml:space="preserve">” shall not be deemed to have occurred by virtue of the consummation of any transaction or series of integrated transactions immediately following which the record holders of the Class A Common Stock and Class B Common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w:t>
      </w:r>
    </w:p>
    <w:p>
      <w:pPr>
        <w:pStyle w:val="TextBody"/>
        <w:bidi w:val="0"/>
        <w:spacing w:before="240" w:after="0"/>
        <w:jc w:val="left"/>
        <w:rPr/>
      </w:pPr>
      <w:r>
        <w:rPr/>
        <w:t>“</w:t>
      </w:r>
      <w:r>
        <w:rPr>
          <w:rFonts w:ascii="Times New Roman" w:hAnsi="Times New Roman"/>
          <w:sz w:val="20"/>
          <w:u w:val="single"/>
        </w:rPr>
        <w:t>Change of Control Date</w:t>
      </w:r>
      <w:r>
        <w:rPr>
          <w:rFonts w:ascii="Times New Roman" w:hAnsi="Times New Roman"/>
          <w:sz w:val="20"/>
        </w:rPr>
        <w:t xml:space="preserve">” means the date on which a Change of Control occurs. </w:t>
      </w:r>
    </w:p>
    <w:p>
      <w:pPr>
        <w:pStyle w:val="TextBody"/>
        <w:bidi w:val="0"/>
        <w:spacing w:before="240" w:after="0"/>
        <w:jc w:val="left"/>
        <w:rPr/>
      </w:pPr>
      <w:r>
        <w:rPr/>
        <w:t>“</w:t>
      </w:r>
      <w:r>
        <w:rPr>
          <w:rFonts w:ascii="Times New Roman" w:hAnsi="Times New Roman"/>
          <w:sz w:val="20"/>
          <w:u w:val="single"/>
        </w:rPr>
        <w:t>Class A Common Stock</w:t>
      </w:r>
      <w:r>
        <w:rPr>
          <w:rFonts w:ascii="Times New Roman" w:hAnsi="Times New Roman"/>
          <w:sz w:val="20"/>
        </w:rPr>
        <w:t xml:space="preserve">” has the meaning set forth in the LLC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Class B Common Stock</w:t>
      </w:r>
      <w:r>
        <w:rPr>
          <w:rFonts w:ascii="Times New Roman" w:hAnsi="Times New Roman"/>
          <w:sz w:val="20"/>
        </w:rPr>
        <w:t xml:space="preserve">” has the meaning set forth in the LLC Agreement.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the date on which the IPO is consummated. </w:t>
      </w:r>
    </w:p>
    <w:p>
      <w:pPr>
        <w:pStyle w:val="TextBody"/>
        <w:bidi w:val="0"/>
        <w:spacing w:before="240" w:after="0"/>
        <w:jc w:val="left"/>
        <w:rPr/>
      </w:pPr>
      <w:r>
        <w:rPr/>
        <w:t>“</w:t>
      </w:r>
      <w:r>
        <w:rPr>
          <w:rFonts w:ascii="Times New Roman" w:hAnsi="Times New Roman"/>
          <w:sz w:val="20"/>
          <w:u w:val="single"/>
        </w:rPr>
        <w:t>Closing Date Blocker Attributes</w:t>
      </w:r>
      <w:r>
        <w:rPr>
          <w:rFonts w:ascii="Times New Roman" w:hAnsi="Times New Roman"/>
          <w:sz w:val="20"/>
        </w:rPr>
        <w:t xml:space="preserve">” means (i) the Tax basis in the Reference Assets determined under Sections 734(b), 743(b) and 754 of the Code, including for the avoidance of doubt, Treasury Regulations Section 1.743-1(h), and, in each case, the comparable sections of U.S. state and local tax law), that is attributable to Units owned (directly or indirectly) by the Blocker as of immediately prior to the Reorganization Transactions and directly or indirectly acquired by the Corporation in connection with the Reorganization Transactions (including, for the avoidance of doubt, any Tax basis in the Reference Assets that is attributable to such Units and results from the Reorganization Transactions) and (ii) any loss carryforwards, tax credit carryforwards, and Section 163(j) of the Code (and any comparable provisions of U.S. federal, state, or local Tax law) carryforwards of the Blocker determined as of immediately prior to the IPO. </w:t>
      </w:r>
    </w:p>
    <w:p>
      <w:pPr>
        <w:pStyle w:val="TextBody"/>
        <w:bidi w:val="0"/>
        <w:spacing w:before="240" w:after="0"/>
        <w:jc w:val="left"/>
        <w:rPr/>
      </w:pPr>
      <w:r>
        <w:rPr/>
        <w:t>“</w:t>
      </w:r>
      <w:r>
        <w:rPr>
          <w:rFonts w:ascii="Times New Roman" w:hAnsi="Times New Roman"/>
          <w:sz w:val="20"/>
          <w:u w:val="single"/>
        </w:rPr>
        <w:t>Closing Date Blocker Attributes Schedule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sz w:val="20"/>
          <w:u w:val="single"/>
        </w:rPr>
        <w:t>Common Basis</w:t>
      </w:r>
      <w:r>
        <w:rPr>
          <w:rFonts w:ascii="Times New Roman" w:hAnsi="Times New Roman"/>
          <w:sz w:val="20"/>
        </w:rPr>
        <w:t xml:space="preserve">” means any Tax basis (including as a result of an adjustment pursuant to Section 734(b) of the Code) in the Reference Assets (at each of the times referenced in the definition thereof) owned by the Company or any Person in which the Company owns a direct or indirect interest that is treated as a partnership or disregarded entity for purposes of the applicable Tax (but only to the extent such Person is not held through any entity treated as a corporation for purposes of the applicable Tax) to the extent such Tax basis is depreciable under Section 167 of the Code, amortizable under Section 197 of the Code, or otherwise reported as amortizable or depreciable on IRS Form 4562 for U.S. federal income Tax purposes (excluding any Tax basis attributable to Basis Adjustments or Closing Date Blocker Attributes). </w:t>
      </w:r>
    </w:p>
    <w:p>
      <w:pPr>
        <w:pStyle w:val="TextBody"/>
        <w:bidi w:val="0"/>
        <w:spacing w:before="240" w:after="0"/>
        <w:jc w:val="left"/>
        <w:rPr/>
      </w:pPr>
      <w:r>
        <w:rPr/>
        <w:t>“</w:t>
      </w:r>
      <w:r>
        <w:rPr>
          <w:rFonts w:ascii="Times New Roman" w:hAnsi="Times New Roman"/>
          <w:sz w:val="20"/>
          <w:u w:val="single"/>
        </w:rPr>
        <w:t>Confidential Information</w:t>
      </w:r>
      <w:r>
        <w:rPr>
          <w:rFonts w:ascii="Times New Roman" w:hAnsi="Times New Roman"/>
          <w:sz w:val="20"/>
        </w:rPr>
        <w:t xml:space="preserve">” has the meaning set forth in Section 7.14.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 or indirect, of the power to direct or cause the direction of the management and policies of a Person, whether through ownership of voting securities, by contract or otherwise. The term “</w:t>
      </w:r>
      <w:r>
        <w:rPr>
          <w:rFonts w:ascii="Times New Roman" w:hAnsi="Times New Roman"/>
          <w:sz w:val="20"/>
          <w:u w:val="single"/>
        </w:rPr>
        <w:t>Controlled</w:t>
      </w:r>
      <w:r>
        <w:rPr>
          <w:rFonts w:ascii="Times New Roman" w:hAnsi="Times New Roman"/>
          <w:sz w:val="20"/>
        </w:rPr>
        <w:t xml:space="preserve">” shall have a correlative meaning. </w:t>
      </w:r>
    </w:p>
    <w:p>
      <w:pPr>
        <w:pStyle w:val="TextBody"/>
        <w:bidi w:val="0"/>
        <w:spacing w:before="240" w:after="0"/>
        <w:jc w:val="left"/>
        <w:rPr/>
      </w:pPr>
      <w:r>
        <w:rPr/>
        <w:t>“</w:t>
      </w:r>
      <w:r>
        <w:rPr>
          <w:rFonts w:ascii="Times New Roman" w:hAnsi="Times New Roman"/>
          <w:sz w:val="20"/>
          <w:u w:val="single"/>
        </w:rPr>
        <w:t>Corporate Attributes</w:t>
      </w:r>
      <w:r>
        <w:rPr>
          <w:rFonts w:ascii="Times New Roman" w:hAnsi="Times New Roman"/>
          <w:sz w:val="20"/>
        </w:rPr>
        <w:t xml:space="preserve">” means (i) the Tax attributes of the Corporation Group (including any loss carryforwards, tax credit carryforwards and Section 163(j) of the Code (and any comparable provisions of U.S. federal, state, or local Tax law) carryforwards) determined as of immediately prior to the IPO and (ii) any Common Basis attributable to Units owned (directly or indirectly) by the Corporation Group (taking into account Section 704(c) of the Code). </w:t>
      </w:r>
    </w:p>
    <w:p>
      <w:pPr>
        <w:pStyle w:val="TextBody"/>
        <w:bidi w:val="0"/>
        <w:spacing w:before="240" w:after="0"/>
        <w:jc w:val="left"/>
        <w:rPr/>
      </w:pPr>
      <w:r>
        <w:rPr/>
        <w:t>“</w:t>
      </w:r>
      <w:r>
        <w:rPr>
          <w:rFonts w:ascii="Times New Roman" w:hAnsi="Times New Roman"/>
          <w:sz w:val="20"/>
          <w:u w:val="single"/>
        </w:rPr>
        <w:t>Corporation</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Corporation Charter</w:t>
      </w:r>
      <w:r>
        <w:rPr>
          <w:rFonts w:ascii="Times New Roman" w:hAnsi="Times New Roman"/>
          <w:sz w:val="20"/>
        </w:rPr>
        <w:t xml:space="preserve">” means the Amended and Restated Certificate of Incorporation of the Corporation in effect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Corporation Group</w:t>
      </w:r>
      <w:r>
        <w:rPr>
          <w:rFonts w:ascii="Times New Roman" w:hAnsi="Times New Roman"/>
          <w:sz w:val="20"/>
        </w:rPr>
        <w:t xml:space="preserve">” means the Corporation and any Subsidiary of the Corporation, other than the Company or a Subsidiary of the Company. </w:t>
      </w:r>
    </w:p>
    <w:p>
      <w:pPr>
        <w:pStyle w:val="TextBody"/>
        <w:bidi w:val="0"/>
        <w:spacing w:before="240" w:after="0"/>
        <w:jc w:val="left"/>
        <w:rPr/>
      </w:pPr>
      <w:r>
        <w:rPr/>
        <w:t>“</w:t>
      </w:r>
      <w:r>
        <w:rPr>
          <w:rFonts w:ascii="Times New Roman" w:hAnsi="Times New Roman"/>
          <w:sz w:val="20"/>
          <w:u w:val="single"/>
        </w:rPr>
        <w:t>Corporation Letter</w:t>
      </w:r>
      <w:r>
        <w:rPr>
          <w:rFonts w:ascii="Times New Roman" w:hAnsi="Times New Roman"/>
          <w:sz w:val="20"/>
        </w:rPr>
        <w:t xml:space="preserve">” means a letter prepared by the Corporation in connection with the performance of its obligations under this Agreement, which states that the relevant Schedules, notices or other information to be provided by the Corporation to the Agent, along with all supporting schedules and work papers, were prepared in a manner that is consistent with the terms of this Agreement and, to the extent not expressly provided in this Agreement, on a reasonable basis in light of the facts and law in existence on the date such Schedules, notices or other information were delivered by the Corporation to the Agent. Such letter shall identify any material assumptions or operating procedures or principles that were used for purposes of the underlying calculations. </w:t>
      </w:r>
    </w:p>
    <w:p>
      <w:pPr>
        <w:pStyle w:val="TextBody"/>
        <w:bidi w:val="0"/>
        <w:spacing w:before="240" w:after="0"/>
        <w:jc w:val="left"/>
        <w:rPr/>
      </w:pPr>
      <w:r>
        <w:rPr/>
        <w:t>“</w:t>
      </w:r>
      <w:r>
        <w:rPr>
          <w:rFonts w:ascii="Times New Roman" w:hAnsi="Times New Roman"/>
          <w:sz w:val="20"/>
          <w:u w:val="single"/>
        </w:rPr>
        <w:t>Corporation Return</w:t>
      </w:r>
      <w:r>
        <w:rPr>
          <w:rFonts w:ascii="Times New Roman" w:hAnsi="Times New Roman"/>
          <w:sz w:val="20"/>
        </w:rPr>
        <w:t xml:space="preserve">” means the U.S. federal and/or state and local Tax Return of the Corporation (including any consolidated group of which the Corporation is a member, as further described in </w:t>
      </w:r>
      <w:r>
        <w:rPr>
          <w:rFonts w:ascii="Times New Roman" w:hAnsi="Times New Roman"/>
          <w:sz w:val="20"/>
          <w:u w:val="single"/>
        </w:rPr>
        <w:t>Section 7.13(a)</w:t>
      </w:r>
      <w:r>
        <w:rPr>
          <w:rFonts w:ascii="Times New Roman" w:hAnsi="Times New Roman"/>
          <w:sz w:val="20"/>
        </w:rPr>
        <w:t xml:space="preserve">) filed with respect to any Taxable Year. </w:t>
      </w:r>
    </w:p>
    <w:p>
      <w:pPr>
        <w:pStyle w:val="TextBody"/>
        <w:bidi w:val="0"/>
        <w:spacing w:before="240" w:after="0"/>
        <w:jc w:val="left"/>
        <w:rPr/>
      </w:pPr>
      <w:r>
        <w:rPr/>
        <w:t>“</w:t>
      </w:r>
      <w:r>
        <w:rPr>
          <w:rFonts w:ascii="Times New Roman" w:hAnsi="Times New Roman"/>
          <w:sz w:val="20"/>
          <w:u w:val="single"/>
        </w:rPr>
        <w:t>Covered Person</w:t>
      </w:r>
      <w:r>
        <w:rPr>
          <w:rFonts w:ascii="Times New Roman" w:hAnsi="Times New Roman"/>
          <w:sz w:val="20"/>
        </w:rPr>
        <w:t xml:space="preserve">” has the meaning set forth in </w:t>
      </w:r>
      <w:r>
        <w:rPr>
          <w:rFonts w:ascii="Times New Roman" w:hAnsi="Times New Roman"/>
          <w:sz w:val="20"/>
          <w:u w:val="single"/>
        </w:rPr>
        <w:t>Section 7.17(b)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Cumulative Net Realized Tax Benefit</w:t>
      </w:r>
      <w:r>
        <w:rPr>
          <w:rFonts w:ascii="Times New Roman" w:hAnsi="Times New Roman"/>
          <w:sz w:val="20"/>
        </w:rPr>
        <w:t xml:space="preserve">” for a Taxable Year means the cumulative amount (but not less than zero)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 </w:t>
      </w:r>
    </w:p>
    <w:p>
      <w:pPr>
        <w:pStyle w:val="TextBody"/>
        <w:bidi w:val="0"/>
        <w:spacing w:before="240" w:after="0"/>
        <w:jc w:val="left"/>
        <w:rPr/>
      </w:pPr>
      <w:r>
        <w:rPr/>
        <w:t>“</w:t>
      </w:r>
      <w:r>
        <w:rPr>
          <w:rFonts w:ascii="Times New Roman" w:hAnsi="Times New Roman"/>
          <w:sz w:val="20"/>
          <w:u w:val="single"/>
        </w:rPr>
        <w:t>Default Rate</w:t>
      </w:r>
      <w:r>
        <w:rPr>
          <w:rFonts w:ascii="Times New Roman" w:hAnsi="Times New Roman"/>
          <w:sz w:val="20"/>
        </w:rPr>
        <w:t xml:space="preserve">” means a per annum rate of SOFR plus 500 basis points. </w:t>
      </w:r>
    </w:p>
    <w:p>
      <w:pPr>
        <w:pStyle w:val="TextBody"/>
        <w:bidi w:val="0"/>
        <w:spacing w:before="240" w:after="0"/>
        <w:jc w:val="left"/>
        <w:rPr/>
      </w:pPr>
      <w:r>
        <w:rPr/>
        <w:t>“</w:t>
      </w:r>
      <w:r>
        <w:rPr>
          <w:rFonts w:ascii="Times New Roman" w:hAnsi="Times New Roman"/>
          <w:sz w:val="20"/>
          <w:u w:val="single"/>
        </w:rPr>
        <w:t>Determination</w:t>
      </w:r>
      <w:r>
        <w:rPr>
          <w:rFonts w:ascii="Times New Roman" w:hAnsi="Times New Roman"/>
          <w:sz w:val="20"/>
        </w:rPr>
        <w:t xml:space="preserve">” shall have the meaning ascribed to such term in Section 1313(a) of the Code or similar provision of any state and local Tax law or any other event (including the execution of IRS Form 870-AD) that finally and conclusively establishes the amount of any liability for Tax. </w:t>
      </w:r>
    </w:p>
    <w:p>
      <w:pPr>
        <w:pStyle w:val="TextBody"/>
        <w:bidi w:val="0"/>
        <w:spacing w:before="240" w:after="0"/>
        <w:jc w:val="left"/>
        <w:rPr/>
      </w:pPr>
      <w:r>
        <w:rPr/>
        <w:t>“</w:t>
      </w:r>
      <w:r>
        <w:rPr>
          <w:rFonts w:ascii="Times New Roman" w:hAnsi="Times New Roman"/>
          <w:sz w:val="20"/>
          <w:u w:val="single"/>
        </w:rPr>
        <w:t>Disputing Party</w:t>
      </w:r>
      <w:r>
        <w:rPr>
          <w:rFonts w:ascii="Times New Roman" w:hAnsi="Times New Roman"/>
          <w:sz w:val="20"/>
        </w:rPr>
        <w:t xml:space="preserve">” has the meaning set forth in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Early Termination</w:t>
      </w:r>
      <w:r>
        <w:rPr>
          <w:rFonts w:ascii="Times New Roman" w:hAnsi="Times New Roman"/>
          <w:sz w:val="20"/>
        </w:rPr>
        <w:t xml:space="preserve">” has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Early Termination Date</w:t>
      </w:r>
      <w:r>
        <w:rPr>
          <w:rFonts w:ascii="Times New Roman" w:hAnsi="Times New Roman"/>
          <w:sz w:val="20"/>
        </w:rPr>
        <w:t xml:space="preserve">” means the date of an Early Termination Notice for purposes of determining the Early Termination Payment. </w:t>
      </w:r>
    </w:p>
    <w:p>
      <w:pPr>
        <w:pStyle w:val="TextBody"/>
        <w:bidi w:val="0"/>
        <w:spacing w:before="240" w:after="0"/>
        <w:jc w:val="left"/>
        <w:rPr/>
      </w:pPr>
      <w:r>
        <w:rPr/>
        <w:t>“</w:t>
      </w:r>
      <w:r>
        <w:rPr>
          <w:rFonts w:ascii="Times New Roman" w:hAnsi="Times New Roman"/>
          <w:sz w:val="20"/>
          <w:u w:val="single"/>
        </w:rPr>
        <w:t>Early Termination Effective Date</w:t>
      </w:r>
      <w:r>
        <w:rPr>
          <w:rFonts w:ascii="Times New Roman" w:hAnsi="Times New Roman"/>
          <w:sz w:val="20"/>
        </w:rPr>
        <w:t xml:space="preserve">” has the meaning set forth in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Early Termination Notice</w:t>
      </w:r>
      <w:r>
        <w:rPr>
          <w:rFonts w:ascii="Times New Roman" w:hAnsi="Times New Roman"/>
          <w:sz w:val="20"/>
        </w:rPr>
        <w:t xml:space="preserve">” has the meaning set forth in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Early Termination Payment</w:t>
      </w:r>
      <w:r>
        <w:rPr>
          <w:rFonts w:ascii="Times New Roman" w:hAnsi="Times New Roman"/>
          <w:sz w:val="20"/>
        </w:rPr>
        <w:t xml:space="preserve">” has the meaning set forth in </w:t>
      </w:r>
      <w:r>
        <w:rPr>
          <w:rFonts w:ascii="Times New Roman" w:hAnsi="Times New Roman"/>
          <w:sz w:val="20"/>
          <w:u w:val="single"/>
        </w:rPr>
        <w:t>Section 4.5(b)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Early Termination Rate</w:t>
      </w:r>
      <w:r>
        <w:rPr>
          <w:rFonts w:ascii="Times New Roman" w:hAnsi="Times New Roman"/>
          <w:sz w:val="20"/>
        </w:rPr>
        <w:t xml:space="preserve">” means a per annum rate of the lesser of (a) 6.5% and (b) SOFR plus 100 basis points.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Early Termination Schedule</w:t>
      </w:r>
      <w:r>
        <w:rPr>
          <w:rFonts w:ascii="Times New Roman" w:hAnsi="Times New Roman"/>
          <w:sz w:val="20"/>
        </w:rPr>
        <w:t xml:space="preserve">” has the meaning set forth in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Exchange Schedule</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Expert</w:t>
      </w:r>
      <w:r>
        <w:rPr>
          <w:rFonts w:ascii="Times New Roman" w:hAnsi="Times New Roman"/>
          <w:sz w:val="20"/>
        </w:rPr>
        <w:t xml:space="preserve">” has the meaning set forth in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Future TRAs</w:t>
      </w:r>
      <w:r>
        <w:rPr>
          <w:rFonts w:ascii="Times New Roman" w:hAnsi="Times New Roman"/>
          <w:sz w:val="20"/>
        </w:rPr>
        <w:t xml:space="preserve">” has the meaning set forth in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Hypothetical Tax Liability</w:t>
      </w:r>
      <w:r>
        <w:rPr>
          <w:rFonts w:ascii="Times New Roman" w:hAnsi="Times New Roman"/>
          <w:sz w:val="20"/>
        </w:rPr>
        <w:t xml:space="preserve">” means, with respect to any Taxable Year, the sum of (x) (i) the liability for U.S. federal income Taxes of the Corporation Group (calculated by assuming, in order to avoid double counting, that state and local Taxes are not deductible by the Corporation Group for U.S. federal income Tax purposes) and (ii), without duplication, the portion of any liability for U.S. federal income Taxes imposed directly on the Company (or the Company’s applicable Subsidiaries or other Persons in which the Company owns a direct or indirect equity interest), but only with respect to such Taxes (including under Section 6225 of the Code or any similar provision of state, local, or non-U.S. law) imposed on the taxable income of the Company (or such applicable Subsidiaries or other Persons) that is allocable to the Corporation Group (including under Section 704 of the Code or any similar provision of state, local, or non-U.S. law) or otherwise attributable to the Corporation Group in accordance with the LLC Agreement (in each case, using the same methods, elections, conventions, and similar practices used on the relevant Corporation Return) and (y) the product of (i) the amount of the U.S. federal taxable income for such Taxable Year reported on the Corporation’s IRS Form 1120 (or any successor form) (calculated by excluding deductions for state and local Taxes) and (ii) the Assumed State and Local Tax Rate, but in determining the liability in clause (x) and the amount in clause (y), above, without taking into account any Basis Adjustments, any Closing Date Blocker Attributes, any Corporate Attributes, and any deductions attributable to Imputed Interest. The Hypothetical Tax Liability shall be determined (A) without taking into account the carryover or carryback of any Tax item (or portions thereof) that is attributable to any Basis Adjustments, any Closing Date Blocker Attributes, any Corporate Attributes, or any Imputed Interest and (B) using reasonable estimation methodologies for calculating the portion of any of the foregoing items attributable to U.S. state or local Taxes. </w:t>
      </w:r>
    </w:p>
    <w:p>
      <w:pPr>
        <w:pStyle w:val="TextBody"/>
        <w:bidi w:val="0"/>
        <w:spacing w:before="240" w:after="0"/>
        <w:jc w:val="left"/>
        <w:rPr/>
      </w:pPr>
      <w:r>
        <w:rPr/>
        <w:t>“</w:t>
      </w:r>
      <w:r>
        <w:rPr>
          <w:rFonts w:ascii="Times New Roman" w:hAnsi="Times New Roman"/>
          <w:sz w:val="20"/>
          <w:u w:val="single"/>
        </w:rPr>
        <w:t>Imputed Interest</w:t>
      </w:r>
      <w:r>
        <w:rPr>
          <w:rFonts w:ascii="Times New Roman" w:hAnsi="Times New Roman"/>
          <w:sz w:val="20"/>
        </w:rPr>
        <w:t xml:space="preserve">” means any interest imputed under Section 1272, 1274 or 483 or other provision of the Code and any similar provision of state, local, or non-U.S. law arising with respect to the Corporation’s payment obligations under this Agreement.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LLC Agreement</w:t>
      </w:r>
      <w:r>
        <w:rPr>
          <w:rFonts w:ascii="Times New Roman" w:hAnsi="Times New Roman"/>
          <w:sz w:val="20"/>
        </w:rPr>
        <w:t xml:space="preserve">” means the Amended and Restated Limited Liability Company Agreement of the Company dated as of the date hereof, as the same may be amended, amended and restated or replaced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Objection Notice</w:t>
      </w:r>
      <w:r>
        <w:rPr>
          <w:rFonts w:ascii="Times New Roman" w:hAnsi="Times New Roman"/>
          <w:sz w:val="20"/>
        </w:rPr>
        <w:t xml:space="preserve">” has the meaning set forth in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Net Tax Benefit</w:t>
      </w:r>
      <w:r>
        <w:rPr>
          <w:rFonts w:ascii="Times New Roman" w:hAnsi="Times New Roman"/>
          <w:sz w:val="20"/>
        </w:rPr>
        <w:t xml:space="preserve">” has the meaning set forth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Non-TRA Portion</w:t>
      </w:r>
      <w:r>
        <w:rPr>
          <w:rFonts w:ascii="Times New Roman" w:hAnsi="Times New Roman"/>
          <w:sz w:val="20"/>
        </w:rPr>
        <w:t xml:space="preserve">” has the meaning set forth in </w:t>
      </w:r>
      <w:r>
        <w:rPr>
          <w:rFonts w:ascii="Times New Roman" w:hAnsi="Times New Roman"/>
          <w:sz w:val="20"/>
          <w:u w:val="single"/>
        </w:rPr>
        <w:t>Section 2.4(b)(ii)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Objection Notice</w:t>
      </w:r>
      <w:r>
        <w:rPr>
          <w:rFonts w:ascii="Times New Roman" w:hAnsi="Times New Roman"/>
          <w:sz w:val="20"/>
        </w:rPr>
        <w:t xml:space="preserve">” has the meaning set forth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Date</w:t>
      </w:r>
      <w:r>
        <w:rPr>
          <w:rFonts w:ascii="Times New Roman" w:hAnsi="Times New Roman"/>
          <w:sz w:val="20"/>
        </w:rPr>
        <w:t xml:space="preserve">” means any date on which a payment is required to be made pursuant to this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firm, partnership, joint venture, limited liability company, estate, trust, business association, organization, governmental entity or other entity. </w:t>
      </w:r>
    </w:p>
    <w:p>
      <w:pPr>
        <w:pStyle w:val="TextBody"/>
        <w:bidi w:val="0"/>
        <w:spacing w:before="240" w:after="0"/>
        <w:jc w:val="left"/>
        <w:rPr/>
      </w:pPr>
      <w:r>
        <w:rPr/>
        <w:t>“</w:t>
      </w:r>
      <w:r>
        <w:rPr>
          <w:rFonts w:ascii="Times New Roman" w:hAnsi="Times New Roman"/>
          <w:sz w:val="20"/>
          <w:u w:val="single"/>
        </w:rPr>
        <w:t>Purchase</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sz w:val="20"/>
          <w:u w:val="single"/>
        </w:rPr>
        <w:t>Realized Tax Benefit</w:t>
      </w:r>
      <w:r>
        <w:rPr>
          <w:rFonts w:ascii="Times New Roman" w:hAnsi="Times New Roman"/>
          <w:sz w:val="20"/>
        </w:rPr>
        <w:t xml:space="preserve">” means, for a Taxable Year, the excess, if any, of the Hypothetical Tax Liability over the Actual Tax Liability. If all or a portion of the Actual Tax Liability for the Taxable Year arises as a result of an audit by a Taxing Authority for any Taxable Year, such liability shall not be included in determining the Realized Tax Benefit unless and until there has been a Determination. </w:t>
      </w:r>
    </w:p>
    <w:p>
      <w:pPr>
        <w:pStyle w:val="TextBody"/>
        <w:bidi w:val="0"/>
        <w:spacing w:before="240" w:after="0"/>
        <w:jc w:val="left"/>
        <w:rPr/>
      </w:pPr>
      <w:r>
        <w:rPr/>
        <w:t>“</w:t>
      </w:r>
      <w:r>
        <w:rPr>
          <w:rFonts w:ascii="Times New Roman" w:hAnsi="Times New Roman"/>
          <w:sz w:val="20"/>
          <w:u w:val="single"/>
        </w:rPr>
        <w:t>Realized Tax Detriment</w:t>
      </w:r>
      <w:r>
        <w:rPr>
          <w:rFonts w:ascii="Times New Roman" w:hAnsi="Times New Roman"/>
          <w:sz w:val="20"/>
        </w:rPr>
        <w:t xml:space="preserve">” means, for a Taxable Year, the excess, if any, of the Actual Tax Liability over the Hypothetical Tax Liability. If all or a portion of the Actual Tax Liability for the Taxable Year arises as a result of an audit by a Taxing Authority for any Taxable Year, such liability shall not be included in determining the Realized Tax Detriment unless and until there has been a Determination. </w:t>
      </w:r>
    </w:p>
    <w:p>
      <w:pPr>
        <w:pStyle w:val="TextBody"/>
        <w:bidi w:val="0"/>
        <w:spacing w:before="240" w:after="0"/>
        <w:jc w:val="left"/>
        <w:rPr/>
      </w:pPr>
      <w:r>
        <w:rPr/>
        <w:t>“</w:t>
      </w:r>
      <w:r>
        <w:rPr>
          <w:rFonts w:ascii="Times New Roman" w:hAnsi="Times New Roman"/>
          <w:sz w:val="20"/>
          <w:u w:val="single"/>
        </w:rPr>
        <w:t>Reconciliation Dispute</w:t>
      </w:r>
      <w:r>
        <w:rPr>
          <w:rFonts w:ascii="Times New Roman" w:hAnsi="Times New Roman"/>
          <w:sz w:val="20"/>
        </w:rPr>
        <w:t xml:space="preserve">” has the meaning set forth in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Reconciliation Procedures</w:t>
      </w:r>
      <w:r>
        <w:rPr>
          <w:rFonts w:ascii="Times New Roman" w:hAnsi="Times New Roman"/>
          <w:sz w:val="20"/>
        </w:rPr>
        <w:t xml:space="preserve">” means the procedures described in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Reference Asset</w:t>
      </w:r>
      <w:r>
        <w:rPr>
          <w:rFonts w:ascii="Times New Roman" w:hAnsi="Times New Roman"/>
          <w:sz w:val="20"/>
        </w:rPr>
        <w:t xml:space="preserve">” means any asset that is held by the Company, or any Person in which the Company owns a direct or indirect interest that is treated as a partnership or disregarded entity for purposes of the applicable Tax (but only to the extent such Person is not held through any entity treated as a corporation for purposes of the applicable Tax), immediately prior to the IPO, the Purchase or the Reorganization Transactions, or at the time of an Exchange, any other direct or indirect acquisition of Units by the Corporation Group or any other transaction that adjusts, or changes the interest of the Corporation Group in, Common Basis, as applicable. A Reference Asset also includes any asset that is “substituted basis property” under Section 7701(a)(42) of the Code with respect to a Reference Asset. </w:t>
      </w:r>
    </w:p>
    <w:p>
      <w:pPr>
        <w:pStyle w:val="TextBody"/>
        <w:bidi w:val="0"/>
        <w:spacing w:before="240" w:after="0"/>
        <w:jc w:val="left"/>
        <w:rPr/>
      </w:pPr>
      <w:r>
        <w:rPr/>
        <w:t>“</w:t>
      </w:r>
      <w:r>
        <w:rPr>
          <w:rFonts w:ascii="Times New Roman" w:hAnsi="Times New Roman"/>
          <w:sz w:val="20"/>
          <w:u w:val="single"/>
        </w:rPr>
        <w:t>Reorganization Transactions</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sz w:val="20"/>
          <w:u w:val="single"/>
        </w:rPr>
        <w:t>Schedule</w:t>
      </w:r>
      <w:r>
        <w:rPr>
          <w:rFonts w:ascii="Times New Roman" w:hAnsi="Times New Roman"/>
          <w:sz w:val="20"/>
        </w:rPr>
        <w:t xml:space="preserve">” means any of the following: (i) an Exchange Schedule, (ii) a Closing Date Blocker Attributes Schedule, (iii) a Corporate Attributes Schedule, (iv) a Tax Benefit Schedule or (v) the Early Termination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Senior Obligations</w:t>
      </w:r>
      <w:r>
        <w:rPr>
          <w:rFonts w:ascii="Times New Roman" w:hAnsi="Times New Roman"/>
          <w:sz w:val="20"/>
        </w:rPr>
        <w:t xml:space="preserve">” has the meaning set forth in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means for any month (or portion thereof) during any period, an interest rate per annum equal to the secured overnight financing rate, on the date (such date a “</w:t>
      </w:r>
      <w:r>
        <w:rPr>
          <w:rFonts w:ascii="Times New Roman" w:hAnsi="Times New Roman"/>
          <w:sz w:val="20"/>
          <w:u w:val="single"/>
        </w:rPr>
        <w:t>Determination Date</w:t>
      </w:r>
      <w:r>
        <w:rPr>
          <w:rFonts w:ascii="Times New Roman" w:hAnsi="Times New Roman"/>
          <w:sz w:val="20"/>
        </w:rPr>
        <w:t>”) that is two (2) Business Days prior to the first day of such month, as reported by the Wall Street Journal;</w:t>
      </w:r>
      <w:r>
        <w:rPr>
          <w:rFonts w:ascii="Times New Roman" w:hAnsi="Times New Roman"/>
          <w:sz w:val="20"/>
          <w:u w:val="single"/>
        </w:rPr>
        <w:t xml:space="preserve"> provided</w:t>
      </w:r>
      <w:r>
        <w:rPr>
          <w:rFonts w:ascii="Times New Roman" w:hAnsi="Times New Roman"/>
          <w:sz w:val="20"/>
        </w:rPr>
        <w:t>, that at no time shall SOFR be less than 0%. If as of 5:00 p.m. (New York time) on a Determination Date the secured overnight financing rate has not been published in the Wall Street Journal, then the rate used will be the secured overnight financing rate published by the Wall Street Journal most recently preceding such Determination Date. In the event the Agent determines that SOFR ceases to be a widely recognized benchmark rate, the Agent (with the Corporation’s consent, such consent not to be unreasonably withheld, conditioned, or delayed) shall select an alternate benchmark rate (the “</w:t>
      </w:r>
      <w:r>
        <w:rPr>
          <w:rFonts w:ascii="Times New Roman" w:hAnsi="Times New Roman"/>
          <w:sz w:val="20"/>
          <w:u w:val="single"/>
        </w:rPr>
        <w:t>Replacement Rate</w:t>
      </w:r>
      <w:r>
        <w:rPr>
          <w:rFonts w:ascii="Times New Roman" w:hAnsi="Times New Roman"/>
          <w:sz w:val="20"/>
        </w:rPr>
        <w:t xml:space="preserve">”), in which case, the Replacement Rate shall, subject to the next two sentences, replace SOFR for all purposes under this Agreement. In connection with the establishment and application of the Replacement Rate, this Agreement shall be amended solely with the consent of the Corporation and the Agent, as may be necessary or appropriate, in the reasonable judgment of the Corporation and the Agent, to effect the provisions of this definition. The Replacement Rate shall be applied in a manner consistent with market practice; provided that, to the extent such market practice is not administratively feasible for the Corporation, such Replacement Rate shall be applied as otherwise reasonably determined by the Corporation and the Agent. </w:t>
      </w:r>
    </w:p>
    <w:p>
      <w:pPr>
        <w:pStyle w:val="TextBody"/>
        <w:bidi w:val="0"/>
        <w:spacing w:before="240" w:after="0"/>
        <w:jc w:val="left"/>
        <w:rPr/>
      </w:pPr>
      <w:r>
        <w:rPr/>
        <w:t>“</w:t>
      </w:r>
      <w:r>
        <w:rPr>
          <w:rFonts w:ascii="Times New Roman" w:hAnsi="Times New Roman"/>
          <w:sz w:val="20"/>
          <w:u w:val="single"/>
        </w:rPr>
        <w:t>Subsidiaries</w:t>
      </w:r>
      <w:r>
        <w:rPr>
          <w:rFonts w:ascii="Times New Roman" w:hAnsi="Times New Roman"/>
          <w:sz w:val="20"/>
        </w:rPr>
        <w:t xml:space="preserve">” means, with respect to any Person, as of the date of any determination, any other Person as to which such first Person owns, directly or indirectly, or otherwise controls more than 50% of the voting power or other similar interests or the sole general partner interest or managing member or similar interest of such other Person. </w:t>
      </w:r>
    </w:p>
    <w:p>
      <w:pPr>
        <w:pStyle w:val="TextBody"/>
        <w:bidi w:val="0"/>
        <w:spacing w:before="240" w:after="0"/>
        <w:jc w:val="left"/>
        <w:rPr/>
      </w:pPr>
      <w:r>
        <w:rPr/>
        <w:t>“</w:t>
      </w:r>
      <w:r>
        <w:rPr>
          <w:rFonts w:ascii="Times New Roman" w:hAnsi="Times New Roman"/>
          <w:sz w:val="20"/>
          <w:u w:val="single"/>
        </w:rPr>
        <w:t>Sunset Date</w:t>
      </w:r>
      <w:r>
        <w:rPr>
          <w:rFonts w:ascii="Times New Roman" w:hAnsi="Times New Roman"/>
          <w:sz w:val="20"/>
        </w:rPr>
        <w:t xml:space="preserve">” has the meaning set forth in the Corporation Charter. </w:t>
      </w:r>
    </w:p>
    <w:p>
      <w:pPr>
        <w:pStyle w:val="TextBody"/>
        <w:bidi w:val="0"/>
        <w:spacing w:before="240" w:after="0"/>
        <w:jc w:val="left"/>
        <w:rPr/>
      </w:pPr>
      <w:r>
        <w:rPr/>
        <w:t>“</w:t>
      </w:r>
      <w:r>
        <w:rPr>
          <w:rFonts w:ascii="Times New Roman" w:hAnsi="Times New Roman"/>
          <w:sz w:val="20"/>
          <w:u w:val="single"/>
        </w:rPr>
        <w:t>Tax Benefit Payment</w:t>
      </w:r>
      <w:r>
        <w:rPr>
          <w:rFonts w:ascii="Times New Roman" w:hAnsi="Times New Roman"/>
          <w:sz w:val="20"/>
        </w:rPr>
        <w:t xml:space="preserve">” has the meaning set forth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Benefit Schedule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Proceeding</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declaration, report or similar statement filed or required to be filed with respect to Taxes (including any attached schedules), including, without limitation, any information return, claim for refund, amended return and declaration of estimated Tax. </w:t>
      </w:r>
    </w:p>
    <w:p>
      <w:pPr>
        <w:pStyle w:val="TextBody"/>
        <w:bidi w:val="0"/>
        <w:spacing w:before="240" w:after="0"/>
        <w:jc w:val="left"/>
        <w:rPr/>
      </w:pPr>
      <w:r>
        <w:rPr/>
        <w:t>“</w:t>
      </w:r>
      <w:r>
        <w:rPr>
          <w:rFonts w:ascii="Times New Roman" w:hAnsi="Times New Roman"/>
          <w:sz w:val="20"/>
          <w:u w:val="single"/>
        </w:rPr>
        <w:t>Taxable Year</w:t>
      </w:r>
      <w:r>
        <w:rPr>
          <w:rFonts w:ascii="Times New Roman" w:hAnsi="Times New Roman"/>
          <w:sz w:val="20"/>
        </w:rPr>
        <w:t xml:space="preserve">” means a taxable year of the Corporation as defined in Section 441(b) of the Code or comparable section of state or local Tax law, as applicable (which, for the avoidance of doubt, may include a period of less than twelve (12) months for which a Tax Return is made), ending on or after the date hereof.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any and all U.S. federal, state and local taxes, assessments or similar charges that are based on or measured with respect to net income or profits, and any interest related to such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Taxing Authority</w:t>
      </w:r>
      <w:r>
        <w:rPr>
          <w:rFonts w:ascii="Times New Roman" w:hAnsi="Times New Roman"/>
          <w:sz w:val="20"/>
        </w:rPr>
        <w:t xml:space="preserve">” means any federal, national, state, county or municipal or other local government, any subdivision, agency, commission or authority thereof, or any quasi-governmental body exercising any taxing authority or any other authority exercising Tax regulatory authority. </w:t>
      </w:r>
    </w:p>
    <w:p>
      <w:pPr>
        <w:pStyle w:val="TextBody"/>
        <w:bidi w:val="0"/>
        <w:spacing w:before="240" w:after="0"/>
        <w:jc w:val="left"/>
        <w:rPr/>
      </w:pPr>
      <w:r>
        <w:rPr/>
        <w:t>“</w:t>
      </w:r>
      <w:r>
        <w:rPr>
          <w:rFonts w:ascii="Times New Roman" w:hAnsi="Times New Roman"/>
          <w:sz w:val="20"/>
          <w:u w:val="single"/>
        </w:rPr>
        <w:t>Threshold Exchange Units</w:t>
      </w:r>
      <w:r>
        <w:rPr>
          <w:rFonts w:ascii="Times New Roman" w:hAnsi="Times New Roman"/>
          <w:sz w:val="20"/>
        </w:rPr>
        <w:t xml:space="preserve">” has the meaning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 Holder</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TRA Portion</w:t>
      </w:r>
      <w:r>
        <w:rPr>
          <w:rFonts w:ascii="Times New Roman" w:hAnsi="Times New Roman"/>
          <w:sz w:val="20"/>
        </w:rPr>
        <w:t xml:space="preserve">” has the meaning set forth in </w:t>
      </w:r>
      <w:r>
        <w:rPr>
          <w:rFonts w:ascii="Times New Roman" w:hAnsi="Times New Roman"/>
          <w:sz w:val="20"/>
          <w:u w:val="single"/>
        </w:rPr>
        <w:t>Section 2.4(b)(ii)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final, temporary and proposed regulations promulgated under the Code from time to time (including corresponding provisions and succeeding provisions) as in effect for the relevant Taxable Year. </w:t>
      </w:r>
    </w:p>
    <w:p>
      <w:pPr>
        <w:pStyle w:val="TextBody"/>
        <w:bidi w:val="0"/>
        <w:spacing w:before="240" w:after="0"/>
        <w:jc w:val="left"/>
        <w:rPr/>
      </w:pPr>
      <w:r>
        <w:rPr/>
        <w:t>“</w:t>
      </w:r>
      <w:r>
        <w:rPr>
          <w:rFonts w:ascii="Times New Roman" w:hAnsi="Times New Roman"/>
          <w:sz w:val="20"/>
          <w:u w:val="single"/>
        </w:rPr>
        <w:t>Trigger Event</w:t>
      </w:r>
      <w:r>
        <w:rPr>
          <w:rFonts w:ascii="Times New Roman" w:hAnsi="Times New Roman"/>
          <w:sz w:val="20"/>
        </w:rPr>
        <w:t xml:space="preserve">” has the meaning set forth in the Certificate of Incorporation. </w:t>
      </w:r>
    </w:p>
    <w:p>
      <w:pPr>
        <w:pStyle w:val="TextBody"/>
        <w:bidi w:val="0"/>
        <w:spacing w:before="240" w:after="0"/>
        <w:jc w:val="left"/>
        <w:rPr/>
      </w:pPr>
      <w:r>
        <w:rPr/>
        <w:t>“</w:t>
      </w:r>
      <w:r>
        <w:rPr>
          <w:rFonts w:ascii="Times New Roman" w:hAnsi="Times New Roman"/>
          <w:sz w:val="20"/>
          <w:u w:val="single"/>
        </w:rPr>
        <w:t>Units</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sz w:val="20"/>
          <w:u w:val="single"/>
        </w:rPr>
        <w:t>Valuation Assumptions</w:t>
      </w:r>
      <w:r>
        <w:rPr>
          <w:rFonts w:ascii="Times New Roman" w:hAnsi="Times New Roman"/>
          <w:sz w:val="20"/>
        </w:rPr>
        <w:t xml:space="preserve">” means, as of an Early Termination Date, the assumptions that </w:t>
      </w:r>
    </w:p>
    <w:p>
      <w:pPr>
        <w:pStyle w:val="TextBody"/>
        <w:bidi w:val="0"/>
        <w:spacing w:before="120" w:after="0"/>
        <w:jc w:val="left"/>
        <w:rPr>
          <w:rFonts w:ascii="Times New Roman" w:hAnsi="Times New Roman"/>
          <w:sz w:val="20"/>
        </w:rPr>
      </w:pPr>
      <w:r>
        <w:rPr>
          <w:rFonts w:ascii="Times New Roman" w:hAnsi="Times New Roman"/>
          <w:sz w:val="20"/>
        </w:rPr>
        <w:t xml:space="preserve">(i) in each Taxable Year ending on or after such Early Termination Date, the Corporation Group will have taxable income sufficient to fully utilize (and will fully utilize) the deductions arising from all Basis Adjustments, the Closing Date Blocker Attributes, the Corporate Attributes and the Imputed Interest during such Taxable Year or future Taxable Years (including, for the avoidance of doubt, Basis Adjustments and Imputed Interest that would result from future Tax Benefit Payments that would be paid in accordance with the Valuation Assumptions, further assuming such future Tax Benefit Payments would be paid on the due date, without extensions, for filing the Corporation Return for the applicable Taxable Year) in which such deductions would become available, </w:t>
      </w:r>
    </w:p>
    <w:p>
      <w:pPr>
        <w:pStyle w:val="TextBody"/>
        <w:bidi w:val="0"/>
        <w:spacing w:before="120" w:after="0"/>
        <w:jc w:val="left"/>
        <w:rPr>
          <w:rFonts w:ascii="Times New Roman" w:hAnsi="Times New Roman"/>
          <w:sz w:val="20"/>
        </w:rPr>
      </w:pPr>
      <w:r>
        <w:rPr>
          <w:rFonts w:ascii="Times New Roman" w:hAnsi="Times New Roman"/>
          <w:sz w:val="20"/>
        </w:rPr>
        <w:t xml:space="preserve">(ii) any loss or credit carryovers (including any excess business interest expense) generated by deductions or losses arising from any Basis Adjustment, the Closing Date Blocker Attributes, the Corporate Attributes or Imputed Interest that are available in the Taxable Year that includes the Early Termination Date will be utilized by the Corporation Group on a pro rata basis from such Early Termination Date through the earlier of (x) the scheduled expiration date under applicable Tax law of such carryovers or (y) the fifth (5th) anniversary of the Early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(iii) the U.S. federal income tax rates that will be in effect for each Taxable Year ending on or after such Early Termination Date will be those specified for each such Taxable Year by the Code and the tax rates for U.S. state and local income taxes shall be the Assumed State and Local Tax Rate, in each case as in effect on the Early Termination Date, except to the extent any change to such tax rates for such Taxable Years have already been enacted into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non-amortizable Reference Assets will be disposed of for cash at their fair market value in a fully taxable transaction for Tax purposes on the fifteenth (15th) anniversary of the Early Termination Date and any cash equivalents will be disposed of twelve (12) months following the Early Termination Date, </w:t>
      </w:r>
      <w:r>
        <w:rPr>
          <w:rFonts w:ascii="Times New Roman" w:hAnsi="Times New Roman"/>
          <w:sz w:val="20"/>
          <w:u w:val="single"/>
        </w:rPr>
        <w:t>provided</w:t>
      </w:r>
      <w:r>
        <w:rPr>
          <w:rFonts w:ascii="Times New Roman" w:hAnsi="Times New Roman"/>
          <w:sz w:val="20"/>
        </w:rPr>
        <w:t xml:space="preserve">, that in the event of a Change of Control, such non-amortizable assets shall be deemed disposed of at the time of sale (if applicable) of the relevant asset in the Change of Control (if earlier than the applicable fifteenth (15th) anniversary), </w:t>
      </w:r>
    </w:p>
    <w:p>
      <w:pPr>
        <w:pStyle w:val="TextBody"/>
        <w:bidi w:val="0"/>
        <w:spacing w:before="120" w:after="0"/>
        <w:jc w:val="left"/>
        <w:rPr>
          <w:rFonts w:ascii="Times New Roman" w:hAnsi="Times New Roman"/>
          <w:sz w:val="20"/>
        </w:rPr>
      </w:pPr>
      <w:r>
        <w:rPr>
          <w:rFonts w:ascii="Times New Roman" w:hAnsi="Times New Roman"/>
          <w:sz w:val="20"/>
        </w:rPr>
        <w:t xml:space="preserve">(v) the stock of or other interests in Subsidiaries that are treated as C corporations for U.S. federal income Tax purposes will never be disposed of (unless disposed of in connection with the transaction constituting the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(vi) if, at the Early Termination Date, there are Units (other than Units directly or indirectly owned by the Corporation Group) that have not been transferred in an Exchange, then all such Units shall be deemed to be redeemed in an Exchange in exchange for the market value of the Class A Common Stock or the amount of cash that would be received by the applicable holder had such Units actually been redeemed in an Exchange on the Early Termination Date, and (for the avoidance of doubt) (1) any shares of Class B Common Stock corresponding to such Units shall be deemed to have been transferred to the Corporation for no consideration and cancelled in such Exchange and (2) the Corporation Group will be deemed to have any Tax attributes that it would have had if an actual Exchange occurred (including any adjustments pursuant to Section 743(b) of the Code and any increased share of Common Basis), </w:t>
      </w:r>
    </w:p>
    <w:p>
      <w:pPr>
        <w:pStyle w:val="TextBody"/>
        <w:bidi w:val="0"/>
        <w:spacing w:before="120" w:after="0"/>
        <w:jc w:val="left"/>
        <w:rPr>
          <w:rFonts w:ascii="Times New Roman" w:hAnsi="Times New Roman"/>
          <w:sz w:val="20"/>
        </w:rPr>
      </w:pPr>
      <w:r>
        <w:rPr>
          <w:rFonts w:ascii="Times New Roman" w:hAnsi="Times New Roman"/>
          <w:sz w:val="20"/>
        </w:rPr>
        <w:t xml:space="preserve">(vii) with respect to Taxable Years where the Payment Date has passed, any unpaid Tax Benefit Payments and any applicable interest will be paid on the Early Termination Date at the Default Rate, and </w:t>
      </w:r>
    </w:p>
    <w:p>
      <w:pPr>
        <w:pStyle w:val="TextBody"/>
        <w:bidi w:val="0"/>
        <w:spacing w:before="120" w:after="0"/>
        <w:jc w:val="left"/>
        <w:rPr>
          <w:rFonts w:ascii="Times New Roman" w:hAnsi="Times New Roman"/>
          <w:sz w:val="20"/>
        </w:rPr>
      </w:pPr>
      <w:r>
        <w:rPr>
          <w:rFonts w:ascii="Times New Roman" w:hAnsi="Times New Roman"/>
          <w:sz w:val="20"/>
        </w:rPr>
        <w:t xml:space="preserve">(viii) each Tax Benefit Payment for the relevant Taxable Year will be due and payable and satisfied on the due date (without extensions) under applicable law as of the Early Termination Effective Date for filing of IRS Form 1120 (or any successor form)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References to any agreement or contract are to that agreement or contract as amended, modified or supplemented from time to time in accordance with the terms thereof. References to any Person include the successors and permitted assigns of that Person. References from or through any date mean, unless otherwise specified, from and including or through and including,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DETERMINATION OF CERTAIN REALIZED TAX BENEFITS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Exchange Schedule</w:t>
      </w:r>
      <w:r>
        <w:rPr>
          <w:rFonts w:ascii="Times New Roman" w:hAnsi="Times New Roman"/>
          <w:sz w:val="20"/>
        </w:rPr>
        <w:t>. Within one hundred twenty (120) calendar days after the extended due date of the U.S. federal Corporation Return for each Taxable Year in which the Purchase or any Exchange has been effected by a TRA Holder, the Corporation shall deliver to the Agent a schedule (an “</w:t>
      </w:r>
      <w:r>
        <w:rPr>
          <w:rFonts w:ascii="Times New Roman" w:hAnsi="Times New Roman"/>
          <w:sz w:val="20"/>
          <w:u w:val="single"/>
        </w:rPr>
        <w:t>Exchange Schedule</w:t>
      </w:r>
      <w:r>
        <w:rPr>
          <w:rFonts w:ascii="Times New Roman" w:hAnsi="Times New Roman"/>
          <w:sz w:val="20"/>
        </w:rPr>
        <w:t xml:space="preserve">”) that shows, in reasonable detail necessary to perform the calculations required by this Agreement, including with respect to each TRA Holder participating in any Exchange during such Taxable Year, (i) the Basis Adjustments with respect to the Reference Assets as a result of the Exchanges effected by such TRA Holder in such Taxable Year and (ii) the period (or periods) over which such Basis Adjustments are amortizable and/or depreciable.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Closing Date Blocker Attributes Schedule</w:t>
      </w:r>
      <w:r>
        <w:rPr>
          <w:rFonts w:ascii="Times New Roman" w:hAnsi="Times New Roman"/>
          <w:sz w:val="20"/>
        </w:rPr>
        <w:t>. Within one hundred twenty (120) calendar days after the extended due date of the U.S. federal Corporation Return for each Taxable Year that ends on or after the Closing Date, the Corporation shall deliver to the Agent a schedule (a “</w:t>
      </w:r>
      <w:r>
        <w:rPr>
          <w:rFonts w:ascii="Times New Roman" w:hAnsi="Times New Roman"/>
          <w:sz w:val="20"/>
          <w:u w:val="single"/>
        </w:rPr>
        <w:t>Closing Date Blocker Attributes Schedule</w:t>
      </w:r>
      <w:r>
        <w:rPr>
          <w:rFonts w:ascii="Times New Roman" w:hAnsi="Times New Roman"/>
          <w:sz w:val="20"/>
        </w:rPr>
        <w:t xml:space="preserve">”) that shows, in reasonable detail necessary to perform the calculations required by this Agreement, (i) the Tax attributes comprising Closing Date Blocker Attributes that remain available for use by the Corporation Group with respect to such Taxable Year or future Taxable Years, and (ii) any applicable limitations on the use of such attributes for Tax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Corporate Attributes Schedule</w:t>
      </w:r>
      <w:r>
        <w:rPr>
          <w:rFonts w:ascii="Times New Roman" w:hAnsi="Times New Roman"/>
          <w:sz w:val="20"/>
        </w:rPr>
        <w:t>. Within one hundred twenty (120) calendar days after the extended due date of the U.S. federal Corporation Return for each Taxable Year that ends on or after the Closing Date, the Corporation shall deliver to the Agent a schedule (a “</w:t>
      </w:r>
      <w:r>
        <w:rPr>
          <w:rFonts w:ascii="Times New Roman" w:hAnsi="Times New Roman"/>
          <w:sz w:val="20"/>
          <w:u w:val="single"/>
        </w:rPr>
        <w:t>Corporate Attributes Schedule</w:t>
      </w:r>
      <w:r>
        <w:rPr>
          <w:rFonts w:ascii="Times New Roman" w:hAnsi="Times New Roman"/>
          <w:sz w:val="20"/>
        </w:rPr>
        <w:t xml:space="preserve">”) that shows, in reasonable detail necessary to perform the calculations required by this Agreement, (i) the Tax attributes comprising Corporate Attributes that remain available for use by the Corporation Group with respect to such Taxable Year or future Taxable Years, and (ii) any applicable limitations on the use of such attributes for Tax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Tax Benefit Schedule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Benefit Schedule</w:t>
      </w:r>
      <w:r>
        <w:rPr>
          <w:rFonts w:ascii="Times New Roman" w:hAnsi="Times New Roman"/>
          <w:sz w:val="20"/>
        </w:rPr>
        <w:t xml:space="preserve">. Within one hundred twenty (120) calendar days after the extended due date of the U.S. federal Corporation Return for any Taxable Year in which there is a Realized Tax Benefit or Realized Tax Detriment, the Corporation shall provide to the Agent: (i) a schedule showing, in reasonable detail, (A) the calculation of the Realized Tax Benefit or Realized Tax Detriment and the components thereof for such Taxable Year, (B) the Accrued Amount with respect to any such Net Tax Benefit, (C) the Tax Benefit Payment determined pursuant to </w:t>
      </w:r>
      <w:r>
        <w:rPr>
          <w:rFonts w:ascii="Times New Roman" w:hAnsi="Times New Roman"/>
          <w:sz w:val="20"/>
          <w:u w:val="single"/>
        </w:rPr>
        <w:t>Section 3.1(b)</w:t>
      </w:r>
      <w:r>
        <w:rPr>
          <w:rFonts w:ascii="Times New Roman" w:hAnsi="Times New Roman"/>
          <w:sz w:val="20"/>
        </w:rPr>
        <w:t xml:space="preserve"> due to each such TRA Holder, and (D) the portion of such Tax Benefit Payment and Accrued Amount that the Corporation intends to treat as Imputed Interest (a “</w:t>
      </w:r>
      <w:r>
        <w:rPr>
          <w:rFonts w:ascii="Times New Roman" w:hAnsi="Times New Roman"/>
          <w:sz w:val="20"/>
          <w:u w:val="single"/>
        </w:rPr>
        <w:t>Tax Benefit Schedule</w:t>
      </w:r>
      <w:r>
        <w:rPr>
          <w:rFonts w:ascii="Times New Roman" w:hAnsi="Times New Roman"/>
          <w:sz w:val="20"/>
        </w:rPr>
        <w:t xml:space="preserve">”), (ii) a reasonably detailed calculation by the Corporation of the Hypothetical Tax Liability (the “without” calculation), (iii) a reasonably detailed calculation by the Corporation of the Actual Tax Liability (the “with” calculation), (iv) a copy of the Corporation Return for such Taxable Year, (v) a Corporation Letter supporting such Tax Benefit Schedule and (vi)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work papers reasonably requested by the Agent. All costs and expenses incurred in connection with the provision and preparation of any Schedules, calculations, other work papers, or the Corporation Letter to the Agent or any TRA Holder in connection with this </w:t>
      </w:r>
      <w:r>
        <w:rPr>
          <w:rFonts w:ascii="Times New Roman" w:hAnsi="Times New Roman"/>
          <w:sz w:val="20"/>
          <w:u w:val="single"/>
        </w:rPr>
        <w:t>Article II</w:t>
      </w:r>
      <w:r>
        <w:rPr>
          <w:rFonts w:ascii="Times New Roman" w:hAnsi="Times New Roman"/>
          <w:sz w:val="20"/>
        </w:rPr>
        <w:t xml:space="preserve"> shall be borne by the Company. In addition, the Corporation shall allow the Agent reasonable access at no cost to the appropriate representatives of the Corporation in connection with a review of such Tax Benefit Schedule. The Tax Benefit Schedule will become final as provided in </w:t>
      </w:r>
      <w:r>
        <w:rPr>
          <w:rFonts w:ascii="Times New Roman" w:hAnsi="Times New Roman"/>
          <w:sz w:val="20"/>
          <w:u w:val="single"/>
        </w:rPr>
        <w:t>Section 2.5(a)</w:t>
      </w:r>
      <w:r>
        <w:rPr>
          <w:rFonts w:ascii="Times New Roman" w:hAnsi="Times New Roman"/>
          <w:sz w:val="20"/>
        </w:rPr>
        <w:t xml:space="preserve"> and may be amended as provided in </w:t>
      </w:r>
      <w:r>
        <w:rPr>
          <w:rFonts w:ascii="Times New Roman" w:hAnsi="Times New Roman"/>
          <w:sz w:val="20"/>
          <w:u w:val="single"/>
        </w:rPr>
        <w:t>Section 2.5(b)</w:t>
      </w:r>
      <w:r>
        <w:rPr>
          <w:rFonts w:ascii="Times New Roman" w:hAnsi="Times New Roman"/>
          <w:sz w:val="20"/>
        </w:rPr>
        <w:t xml:space="preserve"> (subject to the procedures set forth in </w:t>
      </w:r>
      <w:r>
        <w:rPr>
          <w:rFonts w:ascii="Times New Roman" w:hAnsi="Times New Roman"/>
          <w:sz w:val="20"/>
          <w:u w:val="single"/>
        </w:rPr>
        <w:t>Section 2.5(b)</w:t>
      </w:r>
      <w:r>
        <w:rPr>
          <w:rFonts w:ascii="Times New Roman" w:hAnsi="Times New Roman"/>
          <w:sz w:val="20"/>
        </w:rPr>
        <w:t xml:space="preserve">) and subject, in each case, to the Reconciliation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Applicable Principles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 Intent</w:t>
      </w:r>
      <w:r>
        <w:rPr>
          <w:rFonts w:ascii="Times New Roman" w:hAnsi="Times New Roman"/>
          <w:sz w:val="20"/>
        </w:rPr>
        <w:t xml:space="preserve">. The Realized Tax Benefit or Realized Tax Detriment for each Taxable Year is intended to measure the decrease or increase in the Corporation’s actual liability for Taxes for such Taxable Year (computed with the adjustments described in this Agreement) that is attributable to the Basis Adjustments, the Closing Date Blocker Attributes, the Corporate Attributes and Imputed Interest, determined using a “with and without” methodology. For the avoidance of doubt, (1) such “actual” liability for Taxes (and the computation of Actual Tax Liability) will take into account the deduction of the portion of the Tax Benefit Payment and Accrued Amount that must be accounted for as Imputed Interest under the Code based upon the characterization of Tax Benefit Payments as additional consideration payable by the Corporation (as applicable), (2) in addition to using the Assumed State and Local Tax Rate for purposes of determining the state and local Hypothetical Tax Liability and the state and local Actual Tax Liability, the Corporation may use reasonable estimation methodologies for calculating the portion of any Realized Tax Benefit or Realized Tax Detriment attributable to U.S. state or local Taxes, and (3) each Exchange shall (to the extent permitted by applicable law) give rise to Basis Adjustments.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Additional Calculation Principles</w:t>
      </w:r>
      <w:r>
        <w:rPr>
          <w:rFonts w:ascii="Times New Roman" w:hAnsi="Times New Roman"/>
          <w:sz w:val="20"/>
        </w:rPr>
        <w:t>. For purposes of calculating the Realized Tax Benefit or Realized Tax Detriment for any Taxable Year, carryforwards or carrybacks of any Tax item (such as a net operating loss) attributable to the Basis Adjustments, the Closing Date Blocker Attributes, the Corporate Attributes and Imputed Interest shall be considered to be subject to the rules of the Code and the Treasury Regulations and the corresponding provisions of state and local Tax laws, as applicable, governing the use, limitation, and expiration of carryforwards or carrybacks of the relevant type. If a carryforward or carryback of any Tax item includes a portion that is attributable to the Basis Adjustments, the Closing Date Blocker Attributes, the Corporate Attributes, or Imputed Interest (a “</w:t>
      </w:r>
      <w:r>
        <w:rPr>
          <w:rFonts w:ascii="Times New Roman" w:hAnsi="Times New Roman"/>
          <w:sz w:val="20"/>
          <w:u w:val="single"/>
        </w:rPr>
        <w:t>TRA Portion</w:t>
      </w:r>
      <w:r>
        <w:rPr>
          <w:rFonts w:ascii="Times New Roman" w:hAnsi="Times New Roman"/>
          <w:sz w:val="20"/>
        </w:rPr>
        <w:t>”) and another portion that is not so attributable (a “</w:t>
      </w:r>
      <w:r>
        <w:rPr>
          <w:rFonts w:ascii="Times New Roman" w:hAnsi="Times New Roman"/>
          <w:sz w:val="20"/>
          <w:u w:val="single"/>
        </w:rPr>
        <w:t>Non-TRA Portion</w:t>
      </w:r>
      <w:r>
        <w:rPr>
          <w:rFonts w:ascii="Times New Roman" w:hAnsi="Times New Roman"/>
          <w:sz w:val="20"/>
        </w:rPr>
        <w:t xml:space="preserve">”), such respective portions shall be considered to be used in accordance with the “with and without” methodology so that: (1) the amount of any Non-TRA Portion is deemed utilized first, followed by the amount of any TRA Portion; and (2) in the case of a carryback of a Non- TRA Portion, such carryback shall not affect the original “with and without” calculation made in the applicable prior Taxable Year. For the avoidance of doubt, the TRA Portion of any Tax item when such item is incurred shall be determined using a marginal “with and without” methodology by calculating (1) the amount of such Tax item for all Tax purposes taking into account the Basis Adjustments, the Closing Date Blocker Attributes, the Corporate Attributes or Imputed Interest and (2) the amount of such Tax item for all Tax purposes without taking into account the Basis Adjustments, the Closing Date Blocker Attributes, the Corporate Attributes or Imputed Interest, with the TRA Portion equal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excess of the amount specified in clause (1) over the amount specified in clause (2) (but only if such excess is greater than zero). The parties agree that (1) any payment under this Agreement to OCM ITG Aggregator, LLC or ITG Management Holdings, LLC (or their successors or assigns), including the Accrued Amount (but other than amounts accounted for as Imputed Interest), will be treated as a subsequent upward adjustment to the purchase price of Units exchanged or sold (or deemed exchanged or sold) by OCM ITG Aggregator, LLC or ITG Management Holdings, LLC (or their successors or assigns) and will have the effect of creating additional Basis Adjustments to Reference Assets for the Corporation in the year of payment, and (2) as a result, such additional Basis Adjustments will be incorporated into the calculation for the year of payment and into future year calculations, as appropriate.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Procedure: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the Corporation delivers to the Agent (or any TRA Holder) a Schedule under this Agreement, including any Amended Schedule delivered pursuant to </w:t>
      </w:r>
      <w:r>
        <w:rPr>
          <w:rFonts w:ascii="Times New Roman" w:hAnsi="Times New Roman"/>
          <w:sz w:val="20"/>
          <w:u w:val="single"/>
        </w:rPr>
        <w:t>Section 2.5(b)</w:t>
      </w:r>
      <w:r>
        <w:rPr>
          <w:rFonts w:ascii="Times New Roman" w:hAnsi="Times New Roman"/>
          <w:sz w:val="20"/>
        </w:rPr>
        <w:t xml:space="preserve">, and any Early Termination Schedule or amended Early Termination Schedule, the Corporation shall also (x) deliver to the Agent schedules, valuation reports, if any, and work papers, as determined by the Corporation or reasonably requested by the Agent, providing reasonable detail regarding the preparation of the Schedule, and (y) allow the Agent reasonable access at no cost to the appropriate representatives of the Corporation, as determined by the Corporation or requested by the Agent, in connection with the review of such Schedule. Subject to </w:t>
      </w:r>
      <w:r>
        <w:rPr>
          <w:rFonts w:ascii="Times New Roman" w:hAnsi="Times New Roman"/>
          <w:sz w:val="20"/>
          <w:u w:val="single"/>
        </w:rPr>
        <w:t>Section 2.5(b)</w:t>
      </w:r>
      <w:r>
        <w:rPr>
          <w:rFonts w:ascii="Times New Roman" w:hAnsi="Times New Roman"/>
          <w:sz w:val="20"/>
        </w:rPr>
        <w:t>, an applicable Schedule or amendment thereto shall become final and binding on all parties thirty (30) calendar days from the first date on which the Agent has received the applicable Schedule or amendment thereto unless (i) the Agent, within thirty (30) calendar days after receiving an applicable Schedule or amendment thereto, provides the Corporation with notice of an objection to such Schedule (“</w:t>
      </w:r>
      <w:r>
        <w:rPr>
          <w:rFonts w:ascii="Times New Roman" w:hAnsi="Times New Roman"/>
          <w:sz w:val="20"/>
          <w:u w:val="single"/>
        </w:rPr>
        <w:t>Objection Notice</w:t>
      </w:r>
      <w:r>
        <w:rPr>
          <w:rFonts w:ascii="Times New Roman" w:hAnsi="Times New Roman"/>
          <w:sz w:val="20"/>
        </w:rPr>
        <w:t xml:space="preserve">”) made in good faith or (ii) the Agent provides a written waiver of such right of any Objection Notice within the period described in clause (i) above, in which case such Schedule or amendment thereto becomes binding on the date a waiver from the Agent has been received by the Corporation. If the Corporation and Agent, for any reason, are unable to successfully resolve the issues raised in an Objection Notice within thirty (30) calendar days after receipt by the Corporation of such Objection Notice, the Corporation and Agent shall employ the Reconciliation Procedures under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applicable Schedule for any Taxable Year may be amended from time to time by the Corporation (i) in connection with a Determination affecting such Schedule, (ii) to correct inaccuracies in the Schedule identified as a result of the receipt of additional factual information relating to a Taxable Year after the date the Schedule was provided to the Agent,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Corporation Return filed for such Taxable Year or (vi) to adjust an Exchange Schedule to take into account payments made pursuant to this Agreement (any such Schedule, an “</w:t>
      </w:r>
      <w:r>
        <w:rPr>
          <w:rFonts w:ascii="Times New Roman" w:hAnsi="Times New Roman"/>
          <w:sz w:val="20"/>
          <w:u w:val="single"/>
        </w:rPr>
        <w:t>Amended Schedule</w:t>
      </w:r>
      <w:r>
        <w:rPr>
          <w:rFonts w:ascii="Times New Roman" w:hAnsi="Times New Roman"/>
          <w:sz w:val="20"/>
        </w:rPr>
        <w:t xml:space="preserve">”). Unless otherwise agreed to in writing by the Agent, the Corporation shall provide an Amended Schedule to the Agent (A) within sixty (60) calendar days of the occurrence of an event referenced in clauses (i) through (v) of the preceding sentence and (B)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delivery of the Tax Benefit Schedule for the year of the applicable payment in the event of an adjustment pursuant to clause (vi) of the preceding sentence. For the avoidance of doubt, in the event a Schedule is amended after such Schedule becomes final pursuant to </w:t>
      </w:r>
      <w:r>
        <w:rPr>
          <w:rFonts w:ascii="Times New Roman" w:hAnsi="Times New Roman"/>
          <w:sz w:val="20"/>
          <w:u w:val="single"/>
        </w:rPr>
        <w:t>Section 2.5(a)</w:t>
      </w:r>
      <w:r>
        <w:rPr>
          <w:rFonts w:ascii="Times New Roman" w:hAnsi="Times New Roman"/>
          <w:sz w:val="20"/>
        </w:rPr>
        <w:t xml:space="preserve">,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TAX BENEFIT PAYMENTS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five (5) calendar days after a Tax Benefit Schedule delivered to the Agent becomes final in accordance with </w:t>
      </w:r>
      <w:r>
        <w:rPr>
          <w:rFonts w:ascii="Times New Roman" w:hAnsi="Times New Roman"/>
          <w:sz w:val="20"/>
          <w:u w:val="single"/>
        </w:rPr>
        <w:t>Section 2.5(a)</w:t>
      </w:r>
      <w:r>
        <w:rPr>
          <w:rFonts w:ascii="Times New Roman" w:hAnsi="Times New Roman"/>
          <w:sz w:val="20"/>
        </w:rPr>
        <w:t xml:space="preserve"> and, if applicable, </w:t>
      </w:r>
      <w:r>
        <w:rPr>
          <w:rFonts w:ascii="Times New Roman" w:hAnsi="Times New Roman"/>
          <w:sz w:val="20"/>
          <w:u w:val="single"/>
        </w:rPr>
        <w:t>Section 7.9</w:t>
      </w:r>
      <w:r>
        <w:rPr>
          <w:rFonts w:ascii="Times New Roman" w:hAnsi="Times New Roman"/>
          <w:sz w:val="20"/>
        </w:rPr>
        <w:t xml:space="preserve">, the Corporation shall pay to each TRA Holder the Tax Benefit Payment in respect of such TRA Holder for such Taxable Year. Each such payment shall be made by check, by wire transfer of immediately available funds to the bank account previously designated by the TRA Holder to the Corporation, or as otherwise agreed by the Corporation and the TRA Holder. For the avoidance of doubt, no Tax Benefit Payment shall be made in respect of estimated Tax payments, including, without limitation, U.S. federal or state estimated income Tax payments and the payments provided for pursuant to the preceding sentence will be computed separately for each TRA Holder. </w:t>
      </w:r>
    </w:p>
    <w:p>
      <w:pPr>
        <w:pStyle w:val="TextBody"/>
        <w:bidi w:val="0"/>
        <w:spacing w:before="240" w:after="0"/>
        <w:jc w:val="left"/>
        <w:rPr>
          <w:rFonts w:ascii="Times New Roman" w:hAnsi="Times New Roman"/>
          <w:sz w:val="20"/>
        </w:rPr>
      </w:pPr>
      <w:r>
        <w:rPr>
          <w:rFonts w:ascii="Times New Roman" w:hAnsi="Times New Roman"/>
          <w:sz w:val="20"/>
        </w:rPr>
        <w:t>(b) A “</w:t>
      </w:r>
      <w:r>
        <w:rPr>
          <w:rFonts w:ascii="Times New Roman" w:hAnsi="Times New Roman"/>
          <w:sz w:val="20"/>
          <w:u w:val="single"/>
        </w:rPr>
        <w:t>Tax Benefit Payment</w:t>
      </w:r>
      <w:r>
        <w:rPr>
          <w:rFonts w:ascii="Times New Roman" w:hAnsi="Times New Roman"/>
          <w:sz w:val="20"/>
        </w:rPr>
        <w:t xml:space="preserve">” in respect of a TRA Holder for a Taxable Year means an amount, not less than zero, equal to the sum of the portion of the Net Tax Benefit that is apportioned to such TRA Holder in accordance with the percentages set forth on Exhibit A and the Accrued Amount with respect thereto for such Taxable Year. </w:t>
      </w:r>
    </w:p>
    <w:p>
      <w:pPr>
        <w:pStyle w:val="TextBody"/>
        <w:bidi w:val="0"/>
        <w:spacing w:before="240" w:after="0"/>
        <w:jc w:val="left"/>
        <w:rPr>
          <w:rFonts w:ascii="Times New Roman" w:hAnsi="Times New Roman"/>
          <w:sz w:val="20"/>
        </w:rPr>
      </w:pPr>
      <w:r>
        <w:rPr>
          <w:rFonts w:ascii="Times New Roman" w:hAnsi="Times New Roman"/>
          <w:sz w:val="20"/>
        </w:rPr>
        <w:t>(i) The “</w:t>
      </w:r>
      <w:r>
        <w:rPr>
          <w:rFonts w:ascii="Times New Roman" w:hAnsi="Times New Roman"/>
          <w:sz w:val="20"/>
          <w:u w:val="single"/>
        </w:rPr>
        <w:t>Net Tax Benefit</w:t>
      </w:r>
      <w:r>
        <w:rPr>
          <w:rFonts w:ascii="Times New Roman" w:hAnsi="Times New Roman"/>
          <w:sz w:val="20"/>
        </w:rPr>
        <w:t xml:space="preserve">” for a Taxable Year shall be an amount equal to the excess, if any, of (i) 85% of the Cumulative Net Realized Tax Benefit as of the end of such Taxable Year over (ii) the total amount of payments previously made under this </w:t>
      </w:r>
      <w:r>
        <w:rPr>
          <w:rFonts w:ascii="Times New Roman" w:hAnsi="Times New Roman"/>
          <w:sz w:val="20"/>
          <w:u w:val="single"/>
        </w:rPr>
        <w:t>Section 3.1</w:t>
      </w:r>
      <w:r>
        <w:rPr>
          <w:rFonts w:ascii="Times New Roman" w:hAnsi="Times New Roman"/>
          <w:sz w:val="20"/>
        </w:rPr>
        <w:t xml:space="preserve"> (excluding payments attributable to Accrued Amounts); </w:t>
      </w:r>
      <w:r>
        <w:rPr>
          <w:rFonts w:ascii="Times New Roman" w:hAnsi="Times New Roman"/>
          <w:sz w:val="20"/>
          <w:u w:val="single"/>
        </w:rPr>
        <w:t>provided</w:t>
      </w:r>
      <w:r>
        <w:rPr>
          <w:rFonts w:ascii="Times New Roman" w:hAnsi="Times New Roman"/>
          <w:sz w:val="20"/>
        </w:rPr>
        <w:t xml:space="preserve">, for the avoidance of doubt, that no TRA Holder shall be required to return any portion of any previously made Tax Benefit Payment. </w:t>
      </w:r>
    </w:p>
    <w:p>
      <w:pPr>
        <w:pStyle w:val="TextBody"/>
        <w:bidi w:val="0"/>
        <w:spacing w:before="240" w:after="0"/>
        <w:jc w:val="left"/>
        <w:rPr>
          <w:rFonts w:ascii="Times New Roman" w:hAnsi="Times New Roman"/>
          <w:sz w:val="20"/>
        </w:rPr>
      </w:pPr>
      <w:r>
        <w:rPr>
          <w:rFonts w:ascii="Times New Roman" w:hAnsi="Times New Roman"/>
          <w:sz w:val="20"/>
        </w:rPr>
        <w:t>(ii) The “</w:t>
      </w:r>
      <w:r>
        <w:rPr>
          <w:rFonts w:ascii="Times New Roman" w:hAnsi="Times New Roman"/>
          <w:sz w:val="20"/>
          <w:u w:val="single"/>
        </w:rPr>
        <w:t>Accrued Amount</w:t>
      </w:r>
      <w:r>
        <w:rPr>
          <w:rFonts w:ascii="Times New Roman" w:hAnsi="Times New Roman"/>
          <w:sz w:val="20"/>
        </w:rPr>
        <w:t xml:space="preserve">” with respect to any portion of a Net Tax Benefit shall equal an amount determined in the same manner as interest on such portion of the Net Tax Benefit for a Taxable Year calculated at the Agreed Rate from the due date (without extensions) for filing the Corporation Return for such Taxable Year until the Payment Date. For the avoidance of doubt, for Tax purposes, the Accrued Amount shall not be treated as interest but shall instead be treated as additional consideration for the acquisition of Units in the Purchase or an Exchange, as applicable and unless otherwise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in this Agreement, unless a TRA Holder delivers a written notification to the Corporation before the end of the Taxable Year in which the IPO occurs (or, in the case of a TRA Holder subject to Section 3.4, the first Taxable Year in which they become entitled to payments under this Agreement or in the case of an Exchange after the Taxable Year of the IPO, the Taxable Year of such Exchange, as applicable) that includes a stated maximum selling price (within the meaning of Treasury Regulations Section 15A.453-1(c)(2)) with respect to this Agreement, with respect to such TRA Holder, the Corporation and the TRA Holder agree that this Agreement does not have a stated maximum selling price for such TRA Holder within the meaning of Treasury Regulations Section 15A.453-1(c)(2). If a TRA Holder does provide such a timely notice, then (1) the stated maximum selling price (within the meaning of Treasury Regulations Section 15A.453-1(c)(2)) with respect to this Agreement with respect to such TRA Holder shall not exceed the amount specified by such TRA Holder in such timely notice and (2) the aggregate Tax Benefit Payments to such TRA Holder under this Agreement (other than amounts accounted for as interest under the Code) shall not exceed such stated maximum selling price to the extent specified by such TRA Holder in such timely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No Duplicative Payments</w:t>
      </w:r>
      <w:r>
        <w:rPr>
          <w:rFonts w:ascii="Times New Roman" w:hAnsi="Times New Roman"/>
          <w:sz w:val="20"/>
        </w:rPr>
        <w:t xml:space="preserve">. It is intended that the provisions of this Agreement will not result in duplicative payment of any amount (including interest) required under this Agreement. The provisions of this Agreement shall be construed in the appropriate manner to achieve this intent.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Coordination of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for any reason the Corporation does not fully satisfy its payment obligations to make all Tax Benefit Payments due under this Agreement in respect of a particular Taxable Year, then (i) the Corporation will pay the same proportion of each Tax Benefit Payment due to each TRA Holder in respect of such Taxable Year, without favoring one obligation over the other, and (ii) no Tax Benefit Payment shall be made in respect of any Taxable Year until all Tax Benefit Payments in respect of prior Taxable Years have been made in full.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the Corporation makes a payment to a TRA Holder in respect of a particular Taxable Year under </w:t>
      </w:r>
      <w:r>
        <w:rPr>
          <w:rFonts w:ascii="Times New Roman" w:hAnsi="Times New Roman"/>
          <w:sz w:val="20"/>
          <w:u w:val="single"/>
        </w:rPr>
        <w:t>Section 3.1(a)</w:t>
      </w:r>
      <w:r>
        <w:rPr>
          <w:rFonts w:ascii="Times New Roman" w:hAnsi="Times New Roman"/>
          <w:sz w:val="20"/>
        </w:rPr>
        <w:t xml:space="preserve"> (taking into account </w:t>
      </w:r>
      <w:r>
        <w:rPr>
          <w:rFonts w:ascii="Times New Roman" w:hAnsi="Times New Roman"/>
          <w:sz w:val="20"/>
          <w:u w:val="single"/>
        </w:rPr>
        <w:t>Section 3.3(a)</w:t>
      </w:r>
      <w:r>
        <w:rPr>
          <w:rFonts w:ascii="Times New Roman" w:hAnsi="Times New Roman"/>
          <w:sz w:val="20"/>
        </w:rPr>
        <w:t xml:space="preserve">, but excluding payments attributable to Accrued Amounts) in an amount in excess of the amount of such payment that should have been made to such TRA Holder in respect of such Taxable Year, then (i) such TRA Holder shall not receive further payments under </w:t>
      </w:r>
      <w:r>
        <w:rPr>
          <w:rFonts w:ascii="Times New Roman" w:hAnsi="Times New Roman"/>
          <w:sz w:val="20"/>
          <w:u w:val="single"/>
        </w:rPr>
        <w:t>Section 3.1(a)</w:t>
      </w:r>
      <w:r>
        <w:rPr>
          <w:rFonts w:ascii="Times New Roman" w:hAnsi="Times New Roman"/>
          <w:sz w:val="20"/>
        </w:rPr>
        <w:t xml:space="preserve"> until such TRA Holder has foregone an amount of payments equal to such excess and (ii) the Corporation will pay the amount of such TRA Holder’s foregone payments to the other Persons to whom a payment is due under this Agreement in a manner such that each such Person to whom a payment is due under this Agreement, to the maximum extent possible, receives aggregate payments under </w:t>
      </w:r>
      <w:r>
        <w:rPr>
          <w:rFonts w:ascii="Times New Roman" w:hAnsi="Times New Roman"/>
          <w:sz w:val="20"/>
          <w:u w:val="single"/>
        </w:rPr>
        <w:t>Section 3.1(a)</w:t>
      </w:r>
      <w:r>
        <w:rPr>
          <w:rFonts w:ascii="Times New Roman" w:hAnsi="Times New Roman"/>
          <w:sz w:val="20"/>
        </w:rPr>
        <w:t xml:space="preserve"> (taking into account </w:t>
      </w:r>
      <w:r>
        <w:rPr>
          <w:rFonts w:ascii="Times New Roman" w:hAnsi="Times New Roman"/>
          <w:sz w:val="20"/>
          <w:u w:val="single"/>
        </w:rPr>
        <w:t>Section 3.3(a)</w:t>
      </w:r>
      <w:r>
        <w:rPr>
          <w:rFonts w:ascii="Times New Roman" w:hAnsi="Times New Roman"/>
          <w:sz w:val="20"/>
        </w:rPr>
        <w:t xml:space="preserve">, but excluding payments attributable to Accrued Amounts) in the amount it would have received if there had been no excess payment to such TRA Holder. For the avoidance of doubt, no TRA Holder shall be required to return any portion of any previously made Tax Benefit Payment.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Threshold Exchange Requirement</w:t>
      </w:r>
      <w:r>
        <w:rPr>
          <w:rFonts w:ascii="Times New Roman" w:hAnsi="Times New Roman"/>
          <w:sz w:val="20"/>
        </w:rPr>
        <w:t xml:space="preserve">. Notwithstanding anything to the contrary herein, any and all Tax Benefit Payments that would otherwise be made pursuant to this Agreement to OCM ITG Aggregator, LLC or ITG Management Holdings, LLC with respect to any Closing Date Blocker Attributes or Corporate Attributes shall be held by the Corporation for the benefit of such TRA Holder (without any interest thereon, other than the Accrued Amount) until such time as such TRA Holder has exchanged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one or more Exchanges equal to 5% of the Units held by such TRA Holder (as determined immediately prior to the IPO) (such Units, the “</w:t>
      </w:r>
      <w:r>
        <w:rPr>
          <w:rFonts w:ascii="Times New Roman" w:hAnsi="Times New Roman"/>
          <w:sz w:val="20"/>
          <w:u w:val="single"/>
        </w:rPr>
        <w:t>Threshold Exchange Units</w:t>
      </w:r>
      <w:r>
        <w:rPr>
          <w:rFonts w:ascii="Times New Roman" w:hAnsi="Times New Roman"/>
          <w:sz w:val="20"/>
        </w:rPr>
        <w:t xml:space="preserve">”). Promptly following the time such TRA Holder has exchanged, in the aggregate, a number of Units equal to or exceeding the Threshold Exchange Units, such withheld amount shall be paid by the Corporation to such TRA Holder and, thereafter, no further amounts shall be withheld with respect to such TRA Holder pursuant to this </w:t>
      </w:r>
      <w:r>
        <w:rPr>
          <w:rFonts w:ascii="Times New Roman" w:hAnsi="Times New Roman"/>
          <w:sz w:val="20"/>
          <w:u w:val="single"/>
        </w:rPr>
        <w:t>Section 3.4</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Early Termination by the Corporation</w:t>
      </w:r>
      <w:r>
        <w:rPr>
          <w:rFonts w:ascii="Times New Roman" w:hAnsi="Times New Roman"/>
          <w:sz w:val="20"/>
        </w:rPr>
        <w:t xml:space="preserve">. With the written consent of a majority of its independent directors and the Agent, the Corporation may terminate this Agreement at any time by paying to each TRA Holder the Early Termination Payment due to such TRA Holder pursuant to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this Agreement shall only terminate upon the receipt of the Early Termination Payment by the TRA Holders (such termination, an “</w:t>
      </w:r>
      <w:r>
        <w:rPr>
          <w:rFonts w:ascii="Times New Roman" w:hAnsi="Times New Roman"/>
          <w:sz w:val="20"/>
          <w:u w:val="single"/>
        </w:rPr>
        <w:t>Early Termination</w:t>
      </w:r>
      <w:r>
        <w:rPr>
          <w:rFonts w:ascii="Times New Roman" w:hAnsi="Times New Roman"/>
          <w:sz w:val="20"/>
        </w:rPr>
        <w:t xml:space="preserve">”). Upon payment of the Early Termination Payment by the Corporation, the Corporation shall not have any further payment obligations under this Agreement, other than for any (i) Tax Benefit Payment previously due and payable but unpaid as of the Early Termination Notice and (ii) any Tax Benefit Payment due for any Taxable Year ending prior to, with or including the Early Termination Date (except to the extent that the amount described in clause (ii) is included in the Early Termination Payment).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Early Termination upon Change of Control</w:t>
      </w:r>
      <w:r>
        <w:rPr>
          <w:rFonts w:ascii="Times New Roman" w:hAnsi="Times New Roman"/>
          <w:sz w:val="20"/>
        </w:rPr>
        <w:t xml:space="preserve">. In the event of a Change of Control, unless otherwise waived in writing by the Agent, all obligations hereunder shall be accelerated and such obligations shall be calculated as if an Early Termination Notice had been delivered on the Change of Control Date and shall include, but not be limited to the following: (a) payment of the Early Termination Payment calculated as if an Early Termination Notice had been delivered on such Change of Control Date, (b) payment of any Tax Benefit Payment in respect of a TRA Holder agreed to by the Corporation and such TRA Holder as due and payable but unpaid as of the Early Termination Notice, and (c) payment of any Tax Benefit Payment due for any Taxable Year ending prior to, with or including such Change of Control Date (except to the extent that the amount described in clause (c) is included in the Early Termination Payment). In the event of a Change of Control, the Early Termination Payment shall be calculated utilizing the Valuation Assumptions and by substituting in each case the term “Change of Control Date” for the term “Early Termination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Breach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the Corporation breaches any of its material obligations under this Agreement, whether as a result of failure to make any payment when due, as a result of failure to honor any other material obligation required hereunder or by operation of law as a result of the rejection of this Agreement in a case commenced under the Bankruptcy Code or otherwise, then, unless otherwise waived or directed in writing by the Agent, such breach shall be treated as an Early Termination and all obligations hereunder shall be accelerated and such obligations shall be calculated as if an Early Termination Notice had been delivered on the date of such breach and shall include, but shall not be limited to, (i) the Early Termination Payment calculated as if an Early Termination Notice had been delivered on the date of a breach, (ii) any Tax Benefit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previously due and payable but unpaid as of the date of the breach, and (iii) any Tax Benefit Payment due for any Taxable Year ending prior to, with or including the date of the breach (except to the extent that the amount described in clause (iii) is included in the Early Termination Payment). Notwithstanding the foregoing, in the event that the Corporation breaches any of its material obligations under this Agreement, then, unless otherwise waived in writing by the Agent, the TRA Holders shall be entitled to elect to receive the amounts set forth in clauses (i), (ii), and (iii) above or to seek specific performance of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the failure to make any payment due pursuant to this Agreement within three (3) months of the date such payment is due shall be deemed to be a breach of a material obligation under this Agreement for all purposes of this Agreement, and that it shall not be considered to be a breach of a material obligation under this Agreement to make a payment due pursuant to this Agreement within three (3) months of the date such payment is due. The Corporation shall use its commercially reasonable efforts to maintain sufficient available funds for the purpose of making required payments under this Agreement and shall use its commercially reasonable efforts to avoid entering into credit agreements that could be reasonably anticipated to materially delay the timing of any payments under this Agreement. Notwithstanding anything in this Agreement to the contrary, it shall not be a breach of this Agreement if the Corporation fails to make any payment due pursuant to this Agreement as a result of and to the extent the Corporation has insufficient funds to make such payment despite using reasonable best efforts to obtain funds to make such payment (including by causing the Company or any of its Subsidiaries to distribute or lend funds to facilitate such payment, and by accessing any revolving credit facilities or other sources of available credit to fund any such amounts); provided that the interest provisions of </w:t>
      </w:r>
      <w:r>
        <w:rPr>
          <w:rFonts w:ascii="Times New Roman" w:hAnsi="Times New Roman"/>
          <w:sz w:val="20"/>
          <w:u w:val="single"/>
        </w:rPr>
        <w:t>Section 5.2</w:t>
      </w:r>
      <w:r>
        <w:rPr>
          <w:rFonts w:ascii="Times New Roman" w:hAnsi="Times New Roman"/>
          <w:sz w:val="20"/>
        </w:rPr>
        <w:t xml:space="preserve"> shall apply to such late payment; provided, further, that the Corporation shall promptly (and in any event, within two (2) Business Days), pay all such unpaid payments, together with accrued and unpaid interest thereon, immediately following such time that the Corporation has, and to the extent the Corporation has, sufficient funds to make such payment, and the failure of the Corporation to do so shall constitute a breach of this Agreement. For the avoidance of doubt, all cash and cash equivalents used or to be used to pay dividends by, or repurchase equity securities of, the Corporation shall be deemed to be funds sufficient and available to pay such unpaid payments, together with any accrued and unpaid interest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Early Termination Notice</w:t>
      </w:r>
      <w:r>
        <w:rPr>
          <w:rFonts w:ascii="Times New Roman" w:hAnsi="Times New Roman"/>
          <w:sz w:val="20"/>
        </w:rPr>
        <w:t xml:space="preserve">. If the Corporation chooses to exercise its right of early termination under </w:t>
      </w:r>
      <w:r>
        <w:rPr>
          <w:rFonts w:ascii="Times New Roman" w:hAnsi="Times New Roman"/>
          <w:sz w:val="20"/>
          <w:u w:val="single"/>
        </w:rPr>
        <w:t>Section 4.1</w:t>
      </w:r>
      <w:r>
        <w:rPr>
          <w:rFonts w:ascii="Times New Roman" w:hAnsi="Times New Roman"/>
          <w:sz w:val="20"/>
        </w:rPr>
        <w:t xml:space="preserve"> above, the Corporation shall deliver to the Agent notice of such intention to exercise such right (the “</w:t>
      </w:r>
      <w:r>
        <w:rPr>
          <w:rFonts w:ascii="Times New Roman" w:hAnsi="Times New Roman"/>
          <w:sz w:val="20"/>
          <w:u w:val="single"/>
        </w:rPr>
        <w:t>Early Termination Notice</w:t>
      </w:r>
      <w:r>
        <w:rPr>
          <w:rFonts w:ascii="Times New Roman" w:hAnsi="Times New Roman"/>
          <w:sz w:val="20"/>
        </w:rPr>
        <w:t xml:space="preserve">”). Upon delivery of the Early Termination Notice or the occurrence of an event described in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Section 4.3(a)</w:t>
      </w:r>
      <w:r>
        <w:rPr>
          <w:rFonts w:ascii="Times New Roman" w:hAnsi="Times New Roman"/>
          <w:sz w:val="20"/>
        </w:rPr>
        <w:t>, the Corporation shall deliver (i) a schedule showing in reasonable detail the calculation of the Early Termination Payment (the “</w:t>
      </w:r>
      <w:r>
        <w:rPr>
          <w:rFonts w:ascii="Times New Roman" w:hAnsi="Times New Roman"/>
          <w:sz w:val="20"/>
          <w:u w:val="single"/>
        </w:rPr>
        <w:t>Early Termination Schedule</w:t>
      </w:r>
      <w:r>
        <w:rPr>
          <w:rFonts w:ascii="Times New Roman" w:hAnsi="Times New Roman"/>
          <w:sz w:val="20"/>
        </w:rPr>
        <w:t>”) and (ii) any other work papers reasonably requested by the Agent. In addition, the Corporation shall allow the Agent reasonable access at no cost to the appropriate representatives of the Corporation in connection with a review of such Early Termination Schedule. The Early Termination Schedule shall become final and binding on all parties thirty (30) calendar days from the first date on which the Agent has received such Schedule or amendment thereto unless (x) the Agent, within thirty (30) calendar days after receiving the Early Termination Schedule, provides the Corporation with notice of an objection to such Schedule made in good faith (“</w:t>
      </w:r>
      <w:r>
        <w:rPr>
          <w:rFonts w:ascii="Times New Roman" w:hAnsi="Times New Roman"/>
          <w:sz w:val="20"/>
          <w:u w:val="single"/>
        </w:rPr>
        <w:t>Material Objection Notice</w:t>
      </w:r>
      <w:r>
        <w:rPr>
          <w:rFonts w:ascii="Times New Roman" w:hAnsi="Times New Roman"/>
          <w:sz w:val="20"/>
        </w:rPr>
        <w:t>”) or (y) the Agent provides a written waiver of such right of a Material Objection Notice within the period described in clause (x) above, in which case such Schedule becomes binding on the date a waiver from the Agent has been received by the Corporation (the “</w:t>
      </w:r>
      <w:r>
        <w:rPr>
          <w:rFonts w:ascii="Times New Roman" w:hAnsi="Times New Roman"/>
          <w:sz w:val="20"/>
          <w:u w:val="single"/>
        </w:rPr>
        <w:t>Early Termination Effective Date</w:t>
      </w:r>
      <w:r>
        <w:rPr>
          <w:rFonts w:ascii="Times New Roman" w:hAnsi="Times New Roman"/>
          <w:sz w:val="20"/>
        </w:rPr>
        <w:t xml:space="preserve">”). If the Corporation and Agent, for any reason, are unable to successfully resolve the issues raised in such notice within thirty (30) calendar days after receipt by the Corporation of the Material Objection Notice, the Corporation and Agent shall employ the Reconciliation Procedures under </w:t>
      </w:r>
      <w:r>
        <w:rPr>
          <w:rFonts w:ascii="Times New Roman" w:hAnsi="Times New Roman"/>
          <w:sz w:val="20"/>
          <w:u w:val="single"/>
        </w:rPr>
        <w:t>Section 7.9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sz w:val="20"/>
          <w:u w:val="single"/>
        </w:rPr>
        <w:t>Payment upon Early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three (3) calendar days after the Early Termination Effective Date, the Corporation shall pay to each TRA Holder its Early Termination Payment. Each such payment shall be made by check, by wire transfer of immediately available funds to a bank account or accounts designated by the TRA Holder, or as otherwise agreed by the Corporation and the TRA Holder. </w:t>
      </w:r>
    </w:p>
    <w:p>
      <w:pPr>
        <w:pStyle w:val="TextBody"/>
        <w:bidi w:val="0"/>
        <w:spacing w:before="240" w:after="0"/>
        <w:jc w:val="left"/>
        <w:rPr>
          <w:rFonts w:ascii="Times New Roman" w:hAnsi="Times New Roman"/>
          <w:sz w:val="20"/>
        </w:rPr>
      </w:pPr>
      <w:r>
        <w:rPr>
          <w:rFonts w:ascii="Times New Roman" w:hAnsi="Times New Roman"/>
          <w:sz w:val="20"/>
        </w:rPr>
        <w:t>(b) The “</w:t>
      </w:r>
      <w:r>
        <w:rPr>
          <w:rFonts w:ascii="Times New Roman" w:hAnsi="Times New Roman"/>
          <w:sz w:val="20"/>
          <w:u w:val="single"/>
        </w:rPr>
        <w:t>Early Termination Payment</w:t>
      </w:r>
      <w:r>
        <w:rPr>
          <w:rFonts w:ascii="Times New Roman" w:hAnsi="Times New Roman"/>
          <w:sz w:val="20"/>
        </w:rPr>
        <w:t xml:space="preserve">” shall equal, with respect to each TRA Holder, an amount equal to (i) the present value, discounted at the Early Termination Rate as of the Early Termination Date, of all Tax Benefit Payments that would be required to be paid by the Corporation to such TRA Holder beginning from the Early Termination Date and assuming that the Valuation Assumptions are applied, </w:t>
      </w:r>
      <w:r>
        <w:rPr>
          <w:rFonts w:ascii="Times New Roman" w:hAnsi="Times New Roman"/>
          <w:i/>
          <w:sz w:val="20"/>
        </w:rPr>
        <w:t>plus</w:t>
      </w:r>
      <w:r>
        <w:rPr>
          <w:rFonts w:ascii="Times New Roman" w:hAnsi="Times New Roman"/>
          <w:sz w:val="20"/>
        </w:rPr>
        <w:t xml:space="preserve"> (ii) any Tax Benefit Payment due and payable with respect to such TRA Holder that is unpaid as of the Early Termination Date, </w:t>
      </w:r>
      <w:r>
        <w:rPr>
          <w:rFonts w:ascii="Times New Roman" w:hAnsi="Times New Roman"/>
          <w:i/>
          <w:sz w:val="20"/>
        </w:rPr>
        <w:t>plus</w:t>
      </w:r>
      <w:r>
        <w:rPr>
          <w:rFonts w:ascii="Times New Roman" w:hAnsi="Times New Roman"/>
          <w:sz w:val="20"/>
        </w:rPr>
        <w:t xml:space="preserve"> (iii) any Tax Benefit Payment not yet due and payable with respect to such TRA Holder for a Taxable Year ending prior to the Early Termination Date, </w:t>
      </w:r>
      <w:r>
        <w:rPr>
          <w:rFonts w:ascii="Times New Roman" w:hAnsi="Times New Roman"/>
          <w:i/>
          <w:sz w:val="20"/>
        </w:rPr>
        <w:t>plus</w:t>
      </w:r>
      <w:r>
        <w:rPr>
          <w:rFonts w:ascii="Times New Roman" w:hAnsi="Times New Roman"/>
          <w:sz w:val="20"/>
        </w:rPr>
        <w:t xml:space="preserve"> (iv) any interest accruing on the amounts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(which shall include interest accruing on the amount described in </w:t>
      </w:r>
      <w:r>
        <w:rPr>
          <w:rFonts w:ascii="Times New Roman" w:hAnsi="Times New Roman"/>
          <w:sz w:val="20"/>
          <w:u w:val="single"/>
        </w:rPr>
        <w:t>clause (i)</w:t>
      </w:r>
      <w:r>
        <w:rPr>
          <w:rFonts w:ascii="Times New Roman" w:hAnsi="Times New Roman"/>
          <w:sz w:val="20"/>
        </w:rPr>
        <w:t xml:space="preserve"> from the Early Termination Date). For the avoidance of doubt, no TRA Holder shall be required to return any portion of any previously received Early Termination Payment in the event of a later determination occurring after the date on which such Early Termination Payment was made.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SUBORDINATION AND LATE PAYMENTS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Subordination</w:t>
      </w:r>
      <w:r>
        <w:rPr>
          <w:rFonts w:ascii="Times New Roman" w:hAnsi="Times New Roman"/>
          <w:sz w:val="20"/>
        </w:rPr>
        <w:t>. To the extent that any payment under this Agreement is prohibited at the time payment is due by, and would precipitate an “event of default” under, the terms of agreements governing any principal, interest or other amounts due and payable in respect of any obligations in respect of indebtedness for borrowed money of the Corporation and its Subsidiaries (such obligations, “</w:t>
      </w:r>
      <w:r>
        <w:rPr>
          <w:rFonts w:ascii="Times New Roman" w:hAnsi="Times New Roman"/>
          <w:sz w:val="20"/>
          <w:u w:val="single"/>
        </w:rPr>
        <w:t>Senior Obligations</w:t>
      </w:r>
      <w:r>
        <w:rPr>
          <w:rFonts w:ascii="Times New Roman" w:hAnsi="Times New Roman"/>
          <w:sz w:val="20"/>
        </w:rPr>
        <w:t>”), such payment obligation nevertheless shall accrue for the benefit of TRA Parties and the Corporation shall make such payments at the first opportunity that such payments would not precipitate an “event of default” under the terms of the Senior Obligations. Notwithstanding any other provision of this Agreement to the contrary, to the extent that the Corporation or any of its Affiliates enters into future Tax receivable or other similar agreements (“</w:t>
      </w:r>
      <w:r>
        <w:rPr>
          <w:rFonts w:ascii="Times New Roman" w:hAnsi="Times New Roman"/>
          <w:sz w:val="20"/>
          <w:u w:val="single"/>
        </w:rPr>
        <w:t>Future TRAs</w:t>
      </w:r>
      <w:r>
        <w:rPr>
          <w:rFonts w:ascii="Times New Roman" w:hAnsi="Times New Roman"/>
          <w:sz w:val="20"/>
        </w:rPr>
        <w:t xml:space="preserve">”), the Corporation shall ensure that the terms of any such Future TRA shall provide that the Tax attributes subject to this Agreement are considered senior in priority to any Tax attributes subject to any such Future TRA for purposes of calculating the amount and timing of payments under any such Future TRA and that the obligation to make payments under any such Future TRA will be junior and subordinated to the obligations to make payments under this Agreement. For the avoidance of doubt, notwithstanding the above, the determination of whether it is a breach of this Agreement if the Corporation fails to make any Tax Benefit Payment when due is governed by </w:t>
      </w:r>
      <w:r>
        <w:rPr>
          <w:rFonts w:ascii="Times New Roman" w:hAnsi="Times New Roman"/>
          <w:sz w:val="20"/>
          <w:u w:val="single"/>
        </w:rPr>
        <w:t>Section 4.3(a)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Late Payments by the Corporation</w:t>
      </w:r>
      <w:r>
        <w:rPr>
          <w:rFonts w:ascii="Times New Roman" w:hAnsi="Times New Roman"/>
          <w:sz w:val="20"/>
        </w:rPr>
        <w:t xml:space="preserve">. The amount of all or any portion of any Tax Benefit Payment, Early Termination Payment or any other payment under this Agreement not made to any TRA Holder when due under the terms of this Agreement (including if not paid pursuant to </w:t>
      </w:r>
      <w:r>
        <w:rPr>
          <w:rFonts w:ascii="Times New Roman" w:hAnsi="Times New Roman"/>
          <w:sz w:val="20"/>
          <w:u w:val="single"/>
        </w:rPr>
        <w:t>Section 5.1</w:t>
      </w:r>
      <w:r>
        <w:rPr>
          <w:rFonts w:ascii="Times New Roman" w:hAnsi="Times New Roman"/>
          <w:sz w:val="20"/>
        </w:rPr>
        <w:t xml:space="preserve">) shall be payable together with any interest thereon, computed at the Default Rate and commencing from the date on which such Tax Benefit Payment, Early Termination Payment or any other payment under this Agreement was due and payable.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PARTICIPATION IN TAX MATTERS; CONSISTENCY; COOPERATION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Participation in the Corporation’s Tax Matters</w:t>
      </w:r>
      <w:r>
        <w:rPr>
          <w:rFonts w:ascii="Times New Roman" w:hAnsi="Times New Roman"/>
          <w:sz w:val="20"/>
        </w:rPr>
        <w:t>. Except as otherwise provided herein, the Corporation shall have full responsibility for, and sole discretion over, all Tax matters concerning the Corporation, including without limitation preparing, filing or amending any Tax Return and defending, contesting or settling any issue pertaining to Taxes of the Corporation. Notwithstanding the foregoing, the Corporation (i) shall notify the Agent of, and keep the Agent reasonably informed with respect to, the portion of any audit, examination, or any other administrative or judicial proceeding (a “</w:t>
      </w:r>
      <w:r>
        <w:rPr>
          <w:rFonts w:ascii="Times New Roman" w:hAnsi="Times New Roman"/>
          <w:sz w:val="20"/>
          <w:u w:val="single"/>
        </w:rPr>
        <w:t>Tax Proceeding</w:t>
      </w:r>
      <w:r>
        <w:rPr>
          <w:rFonts w:ascii="Times New Roman" w:hAnsi="Times New Roman"/>
          <w:sz w:val="20"/>
        </w:rPr>
        <w:t xml:space="preserve">”) of the Corporation by a Taxing Authority the outcome of which is reasonably expected to affect the rights and obligations of the TRA Holders under this Agreement, (ii) shall provide the Agent with reasonable opportunity to provide information and other input to the Corporation and its advisors concerning the conduct of any such portion of a Tax Proceeding, and (iii) shall not enter into any settlement with respect to any such portion of a Tax Proceeding that could have a material effect on the TRA Holders’ rights (including the right to receive payments) under this Agreement without the written consent of the Agent, such consent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Corporation shall not be required to take any action, or refrain from taking any action, that is inconsistent with any provision of the LLC Agreement; </w:t>
      </w:r>
      <w:r>
        <w:rPr>
          <w:rFonts w:ascii="Times New Roman" w:hAnsi="Times New Roman"/>
          <w:sz w:val="20"/>
          <w:u w:val="single"/>
        </w:rPr>
        <w:t>provided, further</w:t>
      </w:r>
      <w:r>
        <w:rPr>
          <w:rFonts w:ascii="Times New Roman" w:hAnsi="Times New Roman"/>
          <w:sz w:val="20"/>
        </w:rPr>
        <w:t xml:space="preserve">, that if the Agent fails to respond to any notice with respect to the settlement of any such Tax Proceeding within thirty (30) calendar days of its receipt of the applicable notice, the Agent shall be deemed to have consented to the proposed settlement;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contained herein, the Corporation shall prepare, file, and/or amend all Tax Returns in accordance with applicable law (including with respect to the calculation of taxable income and any calculations required to be made under this Agreement) and nothing in this Agreement shall prevent the Agent or any TRA Holder from disputing such Tax matters in accordance with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Consistency</w:t>
      </w:r>
      <w:r>
        <w:rPr>
          <w:rFonts w:ascii="Times New Roman" w:hAnsi="Times New Roman"/>
          <w:sz w:val="20"/>
        </w:rPr>
        <w:t xml:space="preserve">. The Corporation and the TRA Holders agree to report and cause to be reported for all purposes, including U.S. federal, state and local Tax purposes and financial reporting purposes, all Tax-related items (including, without limitation, the Basis Adjustments, Closing Date Blocker Attributes, Common Basis, Corporate Attributes, Imputed Interest, and each Tax Benefit Payment) in a manner consistent with that set forth in any Schedule required to be provided by or on behalf of the Corporation under this Agreement, as finally determined pursuant to </w:t>
      </w:r>
      <w:r>
        <w:rPr>
          <w:rFonts w:ascii="Times New Roman" w:hAnsi="Times New Roman"/>
          <w:sz w:val="20"/>
          <w:u w:val="single"/>
        </w:rPr>
        <w:t>Section 2.5</w:t>
      </w:r>
      <w:r>
        <w:rPr>
          <w:rFonts w:ascii="Times New Roman" w:hAnsi="Times New Roman"/>
          <w:sz w:val="20"/>
        </w:rPr>
        <w:t xml:space="preserve"> unless otherwise required by applicable law. The Corporation shall (and shall cause its Subsidiaries, including the Company, to) use commercially reasonable efforts (for the avoidance of doubt, taking into account the interests and entitlements of all TRA Parties under this Agreement) to defend the Tax treatment contemplated by this Agreement and any Schedule in any audit, examination, or any other administrative or judicial proceeding. If the Corporation and any TRA Holder, for any reason, are unable to successfully resolve any disagreement concerning such treatment within thirty (30) calendar days, the Corporation and such TRA Holder shall employ the Reconciliation Procedures under </w:t>
      </w:r>
      <w:r>
        <w:rPr>
          <w:rFonts w:ascii="Times New Roman" w:hAnsi="Times New Roman"/>
          <w:sz w:val="20"/>
          <w:u w:val="single"/>
        </w:rPr>
        <w:t>Section 7.9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Cooperation</w:t>
      </w:r>
      <w:r>
        <w:rPr>
          <w:rFonts w:ascii="Times New Roman" w:hAnsi="Times New Roman"/>
          <w:sz w:val="20"/>
        </w:rPr>
        <w:t xml:space="preserve">. Each TRA Holder shall use commercially reasonable efforts to (i) furnish to the Corporation in a timely manner such information, documents and other materials as the Corporation may reasonably request for purposes of making any determination or computation necessary or appropriate under this Agreement, preparing any Tax Return or contesting or defending any Tax Proceeding, (ii) make itself available to the Corporation and its representatives to provide explanations of documents and materials and such other information as the Corporation or its representatives may reasonably request in connection with any of the matters described in clause (i) above, and (iii) reasonably cooperate in connection with any such matter. The Corporation shall reimburse the TRA Holder for any reasonable third-party costs and expenses incurred pursuant to this </w:t>
      </w:r>
      <w:r>
        <w:rPr>
          <w:rFonts w:ascii="Times New Roman" w:hAnsi="Times New Roman"/>
          <w:sz w:val="20"/>
          <w:u w:val="single"/>
        </w:rPr>
        <w:t>Section 6.3</w:t>
      </w:r>
      <w:r>
        <w:rPr>
          <w:rFonts w:ascii="Times New Roman" w:hAnsi="Times New Roman"/>
          <w:sz w:val="20"/>
        </w:rPr>
        <w:t xml:space="preserve">. Upon the request of any TRA Party, the Corporation shall cooperate in taking any action reasonably requested by such TRA Party in connection with its Tax or financial reporting and/or the consummation of any assignment or transfer of any of its rights and/or obligations under this Agreement, including without limitation, providing any information or executing any documentation.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demands or other communications to be given or delivered under or by reason of the provisions of this Agreement shall be in writing and shall be deemed to have been given or made when (a) delivered personally to the recipient, (b) delivered by means of electronic mail (with hard copy sent to the recipient by reputable overnight courier service (charges prepaid) that same day) if emailed before 5:00 p.m. Los Angeles, California time on a Business Day, and otherwise on the next Business Day, or (c) one (1) Business Day after being sent to the recipient by reputable overnight courier service (charges prepaid). All notices hereunder shall be delivered as set forth below, or pursuant to such other instructions as may be designated in writing by the party to receive such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Corporation or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2400 E. Commercial Boulevard, Suite 1800 </w:t>
      </w:r>
    </w:p>
    <w:p>
      <w:pPr>
        <w:pStyle w:val="TextBody"/>
        <w:bidi w:val="0"/>
        <w:spacing w:before="0" w:after="0"/>
        <w:jc w:val="left"/>
        <w:rPr>
          <w:rFonts w:ascii="Times New Roman" w:hAnsi="Times New Roman"/>
          <w:sz w:val="20"/>
        </w:rPr>
      </w:pPr>
      <w:r>
        <w:rPr>
          <w:rFonts w:ascii="Times New Roman" w:hAnsi="Times New Roman"/>
          <w:sz w:val="20"/>
        </w:rPr>
        <w:t xml:space="preserve">Fort Lauderdale, Florida 33308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Parrott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the Corporation or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Joshua N. Korff; Michael Kim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1999 Avenue of the Stars, Suite 1800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Tana Ryan; Alice Yuan </w:t>
      </w:r>
    </w:p>
    <w:p>
      <w:pPr>
        <w:pStyle w:val="TextBody"/>
        <w:bidi w:val="0"/>
        <w:spacing w:before="0" w:after="0"/>
        <w:jc w:val="left"/>
        <w:rPr>
          <w:rFonts w:ascii="Times New Roman" w:hAnsi="Times New Roman"/>
          <w:sz w:val="20"/>
        </w:rPr>
      </w:pPr>
      <w:r>
        <w:rPr>
          <w:rFonts w:ascii="Times New Roman" w:hAnsi="Times New Roman"/>
          <w:sz w:val="20"/>
        </w:rPr>
        <w:t xml:space="preserve">E-mail: Tana.Ryan@weil.com; Alice.Yuan@weil.com </w:t>
      </w:r>
    </w:p>
    <w:p>
      <w:pPr>
        <w:pStyle w:val="TextBody"/>
        <w:bidi w:val="0"/>
        <w:spacing w:before="120" w:after="0"/>
        <w:jc w:val="left"/>
        <w:rPr>
          <w:rFonts w:ascii="Times New Roman" w:hAnsi="Times New Roman"/>
          <w:sz w:val="20"/>
        </w:rPr>
      </w:pPr>
      <w:r>
        <w:rPr>
          <w:rFonts w:ascii="Times New Roman" w:hAnsi="Times New Roman"/>
          <w:sz w:val="20"/>
        </w:rPr>
        <w:t xml:space="preserve">If to the Agent, to: </w:t>
      </w:r>
    </w:p>
    <w:p>
      <w:pPr>
        <w:pStyle w:val="TextBody"/>
        <w:bidi w:val="0"/>
        <w:spacing w:before="120" w:after="0"/>
        <w:jc w:val="left"/>
        <w:rPr>
          <w:rFonts w:ascii="Times New Roman" w:hAnsi="Times New Roman"/>
          <w:sz w:val="20"/>
        </w:rPr>
      </w:pPr>
      <w:r>
        <w:rPr>
          <w:rFonts w:ascii="Times New Roman" w:hAnsi="Times New Roman"/>
          <w:sz w:val="20"/>
        </w:rPr>
        <w:t xml:space="preserve">c/o Oaktree Capital Management, L.P. </w:t>
      </w:r>
    </w:p>
    <w:p>
      <w:pPr>
        <w:pStyle w:val="TextBody"/>
        <w:bidi w:val="0"/>
        <w:spacing w:before="0" w:after="0"/>
        <w:jc w:val="left"/>
        <w:rPr>
          <w:rFonts w:ascii="Times New Roman" w:hAnsi="Times New Roman"/>
          <w:sz w:val="20"/>
        </w:rPr>
      </w:pPr>
      <w:r>
        <w:rPr>
          <w:rFonts w:ascii="Times New Roman" w:hAnsi="Times New Roman"/>
          <w:sz w:val="20"/>
        </w:rPr>
        <w:t xml:space="preserve">11611 San Vicente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90049 </w:t>
      </w:r>
    </w:p>
    <w:p>
      <w:pPr>
        <w:pStyle w:val="TextBody"/>
        <w:bidi w:val="0"/>
        <w:spacing w:before="0" w:after="0"/>
        <w:jc w:val="left"/>
        <w:rPr>
          <w:rFonts w:ascii="Times New Roman" w:hAnsi="Times New Roman"/>
          <w:sz w:val="20"/>
        </w:rPr>
      </w:pPr>
      <w:r>
        <w:rPr>
          <w:rFonts w:ascii="Times New Roman" w:hAnsi="Times New Roman"/>
          <w:sz w:val="20"/>
        </w:rPr>
        <w:t xml:space="preserve">Attention: James Lee; Robert Wu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the Agent) to: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1999 Avenue of the Stars, Suite 1800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Tana Ryan; Alice Yuan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a TRA Holder other than the Agent, to the address set forth in the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Any party may change its address or fax number by giving the other party written notice of its new address or fax number in the manner set forth above.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sz w:val="20"/>
          <w:u w:val="single"/>
        </w:rPr>
        <w:t>Entire Agreement; No Third Party Beneficiaries</w:t>
      </w:r>
      <w:r>
        <w:rPr>
          <w:rFonts w:ascii="Times New Roman" w:hAnsi="Times New Roman"/>
          <w:sz w:val="20"/>
        </w:rPr>
        <w:t xml:space="preserve">.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w:t>
      </w:r>
      <w:r>
        <w:rPr>
          <w:rFonts w:ascii="Times New Roman" w:hAnsi="Times New Roman"/>
          <w:sz w:val="20"/>
        </w:rPr>
        <w:t xml:space="preserve">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 of the State of Delaware, without regard to the conflicts of laws principles thereof that would mandate the application of the laws of another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7.5</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7.6</w:t>
      </w:r>
      <w:r>
        <w:rPr>
          <w:rFonts w:ascii="Times New Roman" w:hAnsi="Times New Roman"/>
          <w:sz w:val="20"/>
        </w:rPr>
        <w:t xml:space="preserve"> </w:t>
      </w:r>
      <w:r>
        <w:rPr>
          <w:rFonts w:ascii="Times New Roman" w:hAnsi="Times New Roman"/>
          <w:sz w:val="20"/>
          <w:u w:val="single"/>
        </w:rPr>
        <w:t>Successors: Assignment</w:t>
      </w:r>
      <w:r>
        <w:rPr>
          <w:rFonts w:ascii="Times New Roman" w:hAnsi="Times New Roman"/>
          <w:sz w:val="20"/>
        </w:rPr>
        <w:t xml:space="preserve">. Each party agrees that Agent (subject to </w:t>
      </w:r>
      <w:r>
        <w:rPr>
          <w:rFonts w:ascii="Times New Roman" w:hAnsi="Times New Roman"/>
          <w:sz w:val="20"/>
          <w:u w:val="single"/>
        </w:rPr>
        <w:t>Section 7.17(a)</w:t>
      </w:r>
      <w:r>
        <w:rPr>
          <w:rFonts w:ascii="Times New Roman" w:hAnsi="Times New Roman"/>
          <w:sz w:val="20"/>
        </w:rPr>
        <w:t xml:space="preserve">) and each TRA Holder may assign, sell, transfer, delegate, or otherwise dispose of, whether voluntarily or involuntarily, or by operation of law, any right or obligation under this Agreement. This Agreement shall be binding upon and shall inure to the benefit of the parties and their respective successors and assigns. Except for those enumerated above, this Agreement does not create, and shall not be construed as creating, any rights or claims enforceable by any person or entity not a party to this Agreement. For the avoidance of doubt, each TRA Holder may, at its discretion, impose on any permitted assignee or transferee additional restrictions on further assignment, sale, transfer, delegation or disposition of rights or obligations under this Agreement in connection with any assignment, sale, transfer, delegation or other disposition of such TRA Holder’s rights or obligations under this Agreement; provided, such TRA Holder will provide written notice to the Corporation and Agent of any such additional restrictions.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7.7</w:t>
      </w:r>
      <w:r>
        <w:rPr>
          <w:rFonts w:ascii="Times New Roman" w:hAnsi="Times New Roman"/>
          <w:sz w:val="20"/>
        </w:rPr>
        <w:t xml:space="preserve"> </w:t>
      </w:r>
      <w:r>
        <w:rPr>
          <w:rFonts w:ascii="Times New Roman" w:hAnsi="Times New Roman"/>
          <w:sz w:val="20"/>
          <w:u w:val="single"/>
        </w:rPr>
        <w:t>Amendments: Waivers</w:t>
      </w:r>
      <w:r>
        <w:rPr>
          <w:rFonts w:ascii="Times New Roman" w:hAnsi="Times New Roman"/>
          <w:sz w:val="20"/>
        </w:rPr>
        <w:t xml:space="preserve">. No provision of this Agreement may be amended unless such amendment is approved in writing by each of the Corporation and by the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7.8</w:t>
      </w:r>
      <w:r>
        <w:rPr>
          <w:rFonts w:ascii="Times New Roman" w:hAnsi="Times New Roman"/>
          <w:sz w:val="20"/>
        </w:rPr>
        <w:t xml:space="preserve"> </w:t>
      </w:r>
      <w:r>
        <w:rPr>
          <w:rFonts w:ascii="Times New Roman" w:hAnsi="Times New Roman"/>
          <w:sz w:val="20"/>
          <w:u w:val="single"/>
        </w:rPr>
        <w:t>Titles and Subtitles</w:t>
      </w:r>
      <w:r>
        <w:rPr>
          <w:rFonts w:ascii="Times New Roman" w:hAnsi="Times New Roman"/>
          <w:sz w:val="20"/>
        </w:rPr>
        <w:t xml:space="preserve">. The titles of the sections and subsections of this Agreement are for convenience of reference only and are not to be considered in construing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7.9</w:t>
      </w:r>
      <w:r>
        <w:rPr>
          <w:rFonts w:ascii="Times New Roman" w:hAnsi="Times New Roman"/>
          <w:sz w:val="20"/>
        </w:rPr>
        <w:t xml:space="preserve"> </w:t>
      </w:r>
      <w:r>
        <w:rPr>
          <w:rFonts w:ascii="Times New Roman" w:hAnsi="Times New Roman"/>
          <w:sz w:val="20"/>
          <w:u w:val="single"/>
        </w:rPr>
        <w:t>Reconciliation</w:t>
      </w:r>
      <w:r>
        <w:rPr>
          <w:rFonts w:ascii="Times New Roman" w:hAnsi="Times New Roman"/>
          <w:sz w:val="20"/>
        </w:rPr>
        <w:t>. In the event that the Corporation and the Agent or any TRA Holder (as applicable, the “</w:t>
      </w:r>
      <w:r>
        <w:rPr>
          <w:rFonts w:ascii="Times New Roman" w:hAnsi="Times New Roman"/>
          <w:sz w:val="20"/>
          <w:u w:val="single"/>
        </w:rPr>
        <w:t>Disputing Party</w:t>
      </w:r>
      <w:r>
        <w:rPr>
          <w:rFonts w:ascii="Times New Roman" w:hAnsi="Times New Roman"/>
          <w:sz w:val="20"/>
        </w:rPr>
        <w:t xml:space="preserve">”) are unable to resolve a disagreement with respect to any Schedule, including the calculations required to produce the schedules described in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Section 4.4</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within the relevant period designated in this Agreement (“</w:t>
      </w:r>
      <w:r>
        <w:rPr>
          <w:rFonts w:ascii="Times New Roman" w:hAnsi="Times New Roman"/>
          <w:sz w:val="20"/>
          <w:u w:val="single"/>
        </w:rPr>
        <w:t>Reconciliation Dispute</w:t>
      </w:r>
      <w:r>
        <w:rPr>
          <w:rFonts w:ascii="Times New Roman" w:hAnsi="Times New Roman"/>
          <w:sz w:val="20"/>
        </w:rPr>
        <w:t>”), the Reconciliation Dispute shall be submitted for determination to a nationally recognized expert in the particular area of disagreement, acting as an expert and not as an arbitrator (the “</w:t>
      </w:r>
      <w:r>
        <w:rPr>
          <w:rFonts w:ascii="Times New Roman" w:hAnsi="Times New Roman"/>
          <w:sz w:val="20"/>
          <w:u w:val="single"/>
        </w:rPr>
        <w:t>Expert</w:t>
      </w:r>
      <w:r>
        <w:rPr>
          <w:rFonts w:ascii="Times New Roman" w:hAnsi="Times New Roman"/>
          <w:sz w:val="20"/>
        </w:rPr>
        <w:t xml:space="preserve">”), mutually acceptable to the Corporation and the Disputing Party. Unless the Corporation and the Disputing Party agree otherwise, the Expert shall not, and the firm that employs the Expert shall not, have any material relationship with the Corporation or the Disputing Party or other actual or potential conflict of interest. If the parties are unable to agree on an Expert within fifteen (15) calendar days of receipt by the respondents of written notice of a Reconciliation Dispute, the Expert shall be appointed by the International Chamber of Commerce Centre for Expertise. The Expert shall resolve (a) any matter relating to the Exchange Schedule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amendment thereto, a Closing Date Blocker Attributes Schedule or an amendment thereto, Corporate Attributes Schedule or an amendment thereto, or the Early Termination Schedule or an amendment thereto within thirty (30) calendar days, (b) any matter relating to a Tax Benefit Schedule or an amendment thereto within fifteen (15) calendar days, and (c) any matter related to treatment of any tax-related item as contemplated in </w:t>
      </w:r>
      <w:r>
        <w:rPr>
          <w:rFonts w:ascii="Times New Roman" w:hAnsi="Times New Roman"/>
          <w:sz w:val="20"/>
          <w:u w:val="single"/>
        </w:rPr>
        <w:t>Section 6.2</w:t>
      </w:r>
      <w:r>
        <w:rPr>
          <w:rFonts w:ascii="Times New Roman" w:hAnsi="Times New Roman"/>
          <w:sz w:val="20"/>
        </w:rPr>
        <w:t xml:space="preserve"> within fifteen (15) calendar days or, in each case, as soon thereafter as is reasonably practicable after such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any portion of such payment that is not under dispute shall be paid on the date prescribed by this Agreement and such Tax Return may be filed as prepared by the Corporation, subject to adjustment or amendment upon resolution. The costs and expenses relating to the engagement of such Expert or amending any Tax Return shall be borne by the Corporation except as provided in the next sentence. The Corporation and the Disputing Party shall each bear its own costs and expenses of such proceeding, unless (i) the Expert adopts such Disputing Party’s position, in which case the Corporation shall reimburse such Disputing Party for any reasonable out-of-pocket costs and expenses in such proceeding, or (ii) the Expert adopts the Corporation’s position, in which case such Disputing Party shall reimburse the Corporation for any reasonable out-of-pocket costs and expenses in such proceeding. Any dispute as to whether a dispute is a Reconciliation Dispute within the meaning of this </w:t>
      </w:r>
      <w:r>
        <w:rPr>
          <w:rFonts w:ascii="Times New Roman" w:hAnsi="Times New Roman"/>
          <w:sz w:val="20"/>
          <w:u w:val="single"/>
        </w:rPr>
        <w:t>Section 7.9</w:t>
      </w:r>
      <w:r>
        <w:rPr>
          <w:rFonts w:ascii="Times New Roman" w:hAnsi="Times New Roman"/>
          <w:sz w:val="20"/>
        </w:rPr>
        <w:t xml:space="preserve"> shall be decided by the Expert. The Expert shall finally determine any Reconciliation Dispute and the determinations of the Expert pursuant to this </w:t>
      </w:r>
      <w:r>
        <w:rPr>
          <w:rFonts w:ascii="Times New Roman" w:hAnsi="Times New Roman"/>
          <w:sz w:val="20"/>
          <w:u w:val="single"/>
        </w:rPr>
        <w:t>Section 7.9</w:t>
      </w:r>
      <w:r>
        <w:rPr>
          <w:rFonts w:ascii="Times New Roman" w:hAnsi="Times New Roman"/>
          <w:sz w:val="20"/>
        </w:rPr>
        <w:t xml:space="preserve"> shall be binding on the Corporation and its Subsidiaries and the Disputing Party and may be entered and enforced in any court having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xml:space="preserve"> </w:t>
      </w:r>
      <w:r>
        <w:rPr>
          <w:rFonts w:ascii="Times New Roman" w:hAnsi="Times New Roman"/>
          <w:sz w:val="20"/>
          <w:u w:val="single"/>
        </w:rPr>
        <w:t>Consent to Jurisdiction</w:t>
      </w:r>
      <w:r>
        <w:rPr>
          <w:rFonts w:ascii="Times New Roman" w:hAnsi="Times New Roman"/>
          <w:sz w:val="20"/>
        </w:rPr>
        <w:t xml:space="preserve">. Each party hereto irrevocably submits to the exclusive jurisdiction of the United States District Court for the State of Delaware and the state courts of the State of Delaware for the purposes of any suit, action or other proceeding arising out of this Agreement or any transaction contemplated hereby. Each party hereto further agrees that service of any process, summons, notice or document by United States certified or registered mail (in each such case, prepaid return receipt requested) to such party’s respective address set forth in the Company’s books and records or such other address or to the attention of such other person as the recipient party has specified by prior written notice to the sending party shall be effective service of process in any action, suit or proceeding in Delaware with respect to any matters to which it has submitted to jurisdiction as set forth above in the immediately preceding sentence. Each party hereto irrevocably and unconditionally waives any objection to the laying of venue of any action, suit or proceeding arising out of this Agreement or the transactions contemplated hereby in the United States District Court for the State of Delaware or the state courts of the State of Delaware and hereby irrevocably and unconditionally waives and agrees not to plead or claim in any such court that any such action, suit or proceeding brought in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Because disputes arising in connection with complex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each party to this agreement (including the Company) hereby waives all rights to trial by jury in any action or proceeding brought to resolve any dispute between or among any of the parties hereto, whether arising in contract, tort, or otherwise, arising out of, connected with, related or incidental to this agreement, the transactions contemplated hereby and/or the relationships established among the parties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The Corporation shall be entitled to deduct and withhold from any payment payable pursuant to this Agreement such amounts as the Corporation is required to deduct and withhold with respect to the making of such payment under the Code or any provision of U.S. federal, state, local or non-U.S. Tax law; </w:t>
      </w:r>
      <w:r>
        <w:rPr>
          <w:rFonts w:ascii="Times New Roman" w:hAnsi="Times New Roman"/>
          <w:sz w:val="20"/>
          <w:u w:val="single"/>
        </w:rPr>
        <w:t>provided</w:t>
      </w:r>
      <w:r>
        <w:rPr>
          <w:rFonts w:ascii="Times New Roman" w:hAnsi="Times New Roman"/>
          <w:sz w:val="20"/>
        </w:rPr>
        <w:t xml:space="preserve">, that the Corporation shall have first notified the applicable payee of its intent to deduct or withhold, and the Corporation and the applicable payee shall have discussed in good faith whether such Taxes can be mitigated to the extent permitted under applicable law, and the Corporation shall have used commercially reasonable efforts to mitigate such withholding. To the extent that amounts are so properly withheld and paid over to the appropriate Taxing Authority by the Corporation, such withheld amounts shall be treated for all purposes of this Agreement as having been paid to the relevant TRA 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w:t>
      </w:r>
      <w:r>
        <w:rPr>
          <w:rFonts w:ascii="Times New Roman" w:hAnsi="Times New Roman"/>
          <w:sz w:val="20"/>
          <w:u w:val="single"/>
        </w:rPr>
        <w:t>Admission of the Corporation into a Consolidated Group; Transfers of Corporate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Corporation becomes a member of an affiliated, consolidated, combined, or unitary group of corporations that files a consolidated, combined, or unitary income Tax Return pursuant to Sections 1501 </w:t>
      </w:r>
      <w:r>
        <w:rPr>
          <w:rFonts w:ascii="Times New Roman" w:hAnsi="Times New Roman"/>
          <w:i/>
          <w:sz w:val="20"/>
        </w:rPr>
        <w:t>et seq</w:t>
      </w:r>
      <w:r>
        <w:rPr>
          <w:rFonts w:ascii="Times New Roman" w:hAnsi="Times New Roman"/>
          <w:sz w:val="20"/>
        </w:rPr>
        <w:t xml:space="preserve">. of the Code or any corresponding provisions of U.S. state or local Tax law, or would be eligible to become a member of such a group at the election of one or members of that group, then, subject to the application of the Valuation Assumptions upon a Change of Control: (i) the provisions of this Agreement shall be applied with respect to the group as a whole; and (ii) Tax Benefit Payments, Early Termination Payments and other applicable items hereunder shall be computed with reference to the consolidated taxable income of the group as a whole. </w:t>
      </w:r>
    </w:p>
    <w:p>
      <w:pPr>
        <w:pStyle w:val="TextBody"/>
        <w:bidi w:val="0"/>
        <w:spacing w:before="240" w:after="0"/>
        <w:jc w:val="left"/>
        <w:rPr>
          <w:rFonts w:ascii="Times New Roman" w:hAnsi="Times New Roman"/>
          <w:sz w:val="20"/>
        </w:rPr>
      </w:pPr>
      <w:r>
        <w:rPr>
          <w:rFonts w:ascii="Times New Roman" w:hAnsi="Times New Roman"/>
          <w:sz w:val="20"/>
        </w:rPr>
        <w:t xml:space="preserve">(b) If any entity that is obligated to make a Tax Benefit Payment or Early Termination Payment hereunder or the Company or any Subsidiary of the Company transfers one or more assets to a corporation (or a Person classified as a corporation for Tax purposes) with which the Corporation does not file a consolidated Tax Return pursuant to Section 1501 of the Code or any provisions of state or local Tax law, such entity, for purposes of calculating the amount of any Tax Benefit Payment or Early Termination Payment (e.g. calculating the gross income of the entity and determining the Realized Tax Benefit or Realized Tax Detriment of such entity) due hereunder, shall be treated as having disposed of such asset in a fully taxable transaction on the date of such contribution. The consideration deemed to be received by such entity shall be equal to the fair market value of the contributed asset. Thus, for example, in determining the Hypothetical Tax Liability of the entity, the taxable income of the entity shall be determined by treating the entity as having sold the asset for its fair market value and recovering any basis applicable to such asset (using the Tax basis that such asset would have had at such time if no Basis Adjustments had been made), while the Actual Tax Liability of the entity would be determined by treating the entity as having sold the asset for its fair market value and recovering the actual Tax basis of the asset that reflects any Basis Adjustments. For purposes of this </w:t>
      </w:r>
      <w:r>
        <w:rPr>
          <w:rFonts w:ascii="Times New Roman" w:hAnsi="Times New Roman"/>
          <w:sz w:val="20"/>
          <w:u w:val="single"/>
        </w:rPr>
        <w:t>Section 7.13</w:t>
      </w:r>
      <w:r>
        <w:rPr>
          <w:rFonts w:ascii="Times New Roman" w:hAnsi="Times New Roman"/>
          <w:sz w:val="20"/>
        </w:rPr>
        <w:t xml:space="preserve">, a transfer of a partnership interest shall be treated as a transfer of the transferring partner’s share of each of the assets and liabilities of that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xml:space="preserve"> </w:t>
      </w:r>
      <w:r>
        <w:rPr>
          <w:rFonts w:ascii="Times New Roman" w:hAnsi="Times New Roman"/>
          <w:sz w:val="20"/>
          <w:u w:val="single"/>
        </w:rPr>
        <w:t>Confidentiality</w:t>
      </w:r>
      <w:r>
        <w:rPr>
          <w:rFonts w:ascii="Times New Roman" w:hAnsi="Times New Roman"/>
          <w:sz w:val="20"/>
        </w:rPr>
        <w:t>. Each TRA Holder and the Agent agrees to hold, and to use its reasonable efforts to cause its authorized representatives to hold, in strict confidence, the books and records of the Corporation and all information relating to the Corporation’s properties, operations, financial condition or affairs, in each case, which are furnished to it pursuant to the terms of this Agreement (collectively, the “</w:t>
      </w:r>
      <w:r>
        <w:rPr>
          <w:rFonts w:ascii="Times New Roman" w:hAnsi="Times New Roman"/>
          <w:sz w:val="20"/>
          <w:u w:val="single"/>
        </w:rPr>
        <w:t>Confidential Information</w:t>
      </w:r>
      <w:r>
        <w:rPr>
          <w:rFonts w:ascii="Times New Roman" w:hAnsi="Times New Roman"/>
          <w:sz w:val="20"/>
        </w:rPr>
        <w:t>”). Notwithstanding anything herein to the contrary, Confidential Information shall not include any information that (i) is or becomes generally available to the public other than as a result of an unauthorized disclosure by a TRA Holder or the Agent, (ii) is or becomes available to a TRA Holder, the Agent, or any of their respective Authorized Recipients (as defined below) on a nonconfidential basis from a third-party source, which source, to the knowledge of such TRA Holder or the Agent, as applicable, is not bound by a legal duty of confidentiality to the Corporation in respect of such Confidential Information, or (iii) is independently developed by a TRA Holder, the Agent or their Authorized Recipients. Notwithstanding anything herein to the contrary, a TRA Holder or the Agent may disclose any Confidential Information to (x) any of its representatives, (y) any Affiliates or (z) in the case of a TRA Holder, any bona fide prospective assignee of such TRA Holder’s rights under this Agreement, or prospective merger or other business combination partner of such TRA Holder (the persons in clauses (x), (y) and (z), collectively, the “</w:t>
      </w:r>
      <w:r>
        <w:rPr>
          <w:rFonts w:ascii="Times New Roman" w:hAnsi="Times New Roman"/>
          <w:sz w:val="20"/>
          <w:u w:val="single"/>
        </w:rPr>
        <w:t>Authorized Recipients</w:t>
      </w:r>
      <w:r>
        <w:rPr>
          <w:rFonts w:ascii="Times New Roman" w:hAnsi="Times New Roman"/>
          <w:sz w:val="20"/>
        </w:rPr>
        <w:t xml:space="preserve">”). If a TRA Holder, the Agent or any of their respective Authorized Recipients is required or requested by law or regulation or any legal or judicial process to disclose any Confidential Information, if disclosure of Confidential Information is required by any entity or body exercising executive, legislative, judicial, regulatory or administrative functions of government with authority over such TRA Holder, Agent or Authorized Recipient, or if disclosure of Confidential Information is required in connection with the tax affairs of such TRA Holder, Agent or Authorized Recipient, such TRA Holder, the Agent or Authorized Recipient, as the case may be, may disclose only such portion of such Confidential Information as may be required or requested without liability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7.15</w:t>
      </w:r>
      <w:r>
        <w:rPr>
          <w:rFonts w:ascii="Times New Roman" w:hAnsi="Times New Roman"/>
          <w:sz w:val="20"/>
        </w:rPr>
        <w:t xml:space="preserve"> </w:t>
      </w:r>
      <w:r>
        <w:rPr>
          <w:rFonts w:ascii="Times New Roman" w:hAnsi="Times New Roman"/>
          <w:sz w:val="20"/>
          <w:u w:val="single"/>
        </w:rPr>
        <w:t>No Similar Agreements</w:t>
      </w:r>
      <w:r>
        <w:rPr>
          <w:rFonts w:ascii="Times New Roman" w:hAnsi="Times New Roman"/>
          <w:sz w:val="20"/>
        </w:rPr>
        <w:t xml:space="preserve">. Neither the Corporation nor any of its Subsidiaries shall enter into any additional agreement providing rights similar to this Agreement to any Person (including any agreement pursuant to which the Corporation is obligated to pay amounts with respect to tax benefits resulting from any net operating losses or other tax attributes to which the Corporation becomes entitled as a result of a transaction) without the prior written consent of the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7.16</w:t>
      </w:r>
      <w:r>
        <w:rPr>
          <w:rFonts w:ascii="Times New Roman" w:hAnsi="Times New Roman"/>
          <w:sz w:val="20"/>
        </w:rPr>
        <w:t xml:space="preserve"> </w:t>
      </w:r>
      <w:r>
        <w:rPr>
          <w:rFonts w:ascii="Times New Roman" w:hAnsi="Times New Roman"/>
          <w:sz w:val="20"/>
          <w:u w:val="single"/>
        </w:rPr>
        <w:t>Change in Law</w:t>
      </w:r>
      <w:r>
        <w:rPr>
          <w:rFonts w:ascii="Times New Roman" w:hAnsi="Times New Roman"/>
          <w:sz w:val="20"/>
        </w:rPr>
        <w:t xml:space="preserve">. Notwithstanding anything herein to the contrary, if, in connection with an actual or proposed change in law, a TRA Holder reasonably believes that the existence of this Agreement could cause income (other than income arising from receipt of a payment under this Agreement) recognized by such TRA Holder upon any Exchange to be treated as ordinary income rather than capital gain (or otherwise taxed at ordinary income rates) for U.S. federal income and all applicable state and local Tax purposes or would have other material adverse Tax consequences to the TRA Holder and/or its direct or indirect owners, then at the election of the TRA Holder (with the prior written consent of the Agent) and to the extent specified by the TRA Holder, this Agreement (i) shall cease to have further effect with respect to such TRA Holder, or (ii) shall otherwise be amended in a manner determined by the TRA Holder to waive any benefits to which such TRA Holder would otherwise be entitled under this Agreement, provided that such amendment shall not result in (I) an increase in or acceleration of payments by the Corporation, or (II) a decrease in the amounts payable to other TRA Holders, in each case, under this Agreement at any time as compared to the amounts and times of payments that would have been due in the absence of such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7.17</w:t>
      </w:r>
      <w:r>
        <w:rPr>
          <w:rFonts w:ascii="Times New Roman" w:hAnsi="Times New Roman"/>
          <w:sz w:val="20"/>
        </w:rPr>
        <w:t xml:space="preserve"> </w:t>
      </w:r>
      <w:r>
        <w:rPr>
          <w:rFonts w:ascii="Times New Roman" w:hAnsi="Times New Roman"/>
          <w:sz w:val="20"/>
          <w:u w:val="single"/>
        </w:rPr>
        <w:t>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By executing this Agreement, each of the TRA Holders shall be deemed to have irrevocably constituted the Agent as his, her or its agent and attorney in fact with full power of substitution to act from and after the date hereof and to do any and all things and execute any and all documents on behalf of such TRA Holders which may be necessary, convenient or appropriate to facilitate any matters under this Agreement, including but not limited to: (i) execution of the documents and certificates required pursuant to this Agreement; (ii) except to the extent specifically provided in this Agreement, receipt and forwarding of notices and communications pursuant to this Agreement; (iii) administration of the provisions of this Agreement; (iv) any and all consents, waivers, amendments or modifications deemed by the Agent, in its sole and absolute discretion, to be necessary or appropriate under this Agreement and the execution or delivery of any documents that may be necessary or appropriate in connection therewith; (v) amending this Agreement or any of the instruments to be delivered to the Corporation pursuant to this Agreement; (vi) taking actions the Agent is expressly authorized to take pursuant to the other provisions of this Agreement; (vii) negotiating and compromising, on behalf of such TRA Holders, any dispute that may arise under, and exercising or refraining from exercising any remedies available under, this Agreement or any other agreement contemplated hereby and executing, on behalf of such TRA Holders, any settlement agreement, release or other document with respect to such dispute or remedy; and (viii) engaging attorneys, accountants, agents or consultants on behalf of such TRA Holders in connection with this Agreement or any other agreement contemplated hereby and paying any fees related thereto. The Agent may be replaced at any time by a two-thirds vote of the TRA Holders (the voting power of each TRA Holder shall be determined in accordance with the percentages set forth on </w:t>
      </w:r>
      <w:r>
        <w:rPr>
          <w:rFonts w:ascii="Times New Roman" w:hAnsi="Times New Roman"/>
          <w:sz w:val="20"/>
          <w:u w:val="single"/>
        </w:rPr>
        <w:t>Exhibit A</w:t>
      </w:r>
      <w:r>
        <w:rPr>
          <w:rFonts w:ascii="Times New Roman" w:hAnsi="Times New Roman"/>
          <w:sz w:val="20"/>
        </w:rPr>
        <w:t xml:space="preserve">), with such vote being effective seven (7) days after written notice of such vote is delivered to the Corporation. Provided that, the aforementioned two-thirds vote requirement shall be reduced to a simple majority vote in the event that the Agent has resigned, ceased to legally exist, or died. All reasonable, documented out-of-pocket costs and expenses incurred by the Agent in its capacity as such shall be promptly reimbursed by the Corporation upon invoice and reasonable support therefor by the Agent. </w:t>
      </w:r>
    </w:p>
    <w:p>
      <w:pPr>
        <w:pStyle w:val="TextBody"/>
        <w:bidi w:val="0"/>
        <w:spacing w:before="240" w:after="0"/>
        <w:jc w:val="left"/>
        <w:rPr>
          <w:rFonts w:ascii="Times New Roman" w:hAnsi="Times New Roman"/>
          <w:sz w:val="20"/>
        </w:rPr>
      </w:pPr>
      <w:r>
        <w:rPr>
          <w:rFonts w:ascii="Times New Roman" w:hAnsi="Times New Roman"/>
          <w:sz w:val="20"/>
        </w:rPr>
        <w:t>(b) To the fullest extent permitted by law, none of the Agent, any of its Affiliates, or any of the Agent’s or its Affiliates’ respective directors, officers, employees or other agents (each a “</w:t>
      </w:r>
      <w:r>
        <w:rPr>
          <w:rFonts w:ascii="Times New Roman" w:hAnsi="Times New Roman"/>
          <w:sz w:val="20"/>
          <w:u w:val="single"/>
        </w:rPr>
        <w:t>Covered Person</w:t>
      </w:r>
      <w:r>
        <w:rPr>
          <w:rFonts w:ascii="Times New Roman" w:hAnsi="Times New Roman"/>
          <w:sz w:val="20"/>
        </w:rPr>
        <w:t xml:space="preserve">”) shall be liable, responsible or accountable in damages or otherwise to any TRA Holder, Company or the Corporation for damages arising from any action taken or omitted to be taken by the Agent or any other Person with respect to Company or the Corporation, except in the case of any action or omission which constitutes, with respect to such Person, willful misconduct or fraud. Each of the Covered Persons may consult with legal counsel, accountants, and other experts selected by it, and any act or omission suffered or taken by it on behalf of the TRA Holders or in furtherance of the interests of the TRA Holders in good faith in reliance upon and in accordance with the advice of such counsel, accountants, or other experts shall create a rebuttable presumption of the good faith and due care of such Covered Person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act or omission; provided that such counsel, accountants, or other experts were selected with reasonable care. Each of the Covered Persons may rely in good faith upon, and shall have no liability to Company, the Corporation or the TRA Holders for acting or refraining from acting upon, any resolution, certificate, statement, instrument, opinion, report, notice, request, consent, order, bond, debenture, or other paper or document reasonably believed by it to be genuine and to have been signed or presented by the proper party or parties.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the Company, the Agent, and the TRA Holders have duly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CORPORATION: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INC.</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Parrott</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Andrew Parrott</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PARENT, LLC</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Parrott</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Andrew Parrott</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MH MANAGER, LLC</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Lee</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James Lee</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i/>
          <w:sz w:val="20"/>
        </w:rPr>
        <w:t>[The signatures of the TRA Holders are attached in Schedule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TRA Holders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94"/>
        <w:gridCol w:w="662"/>
        <w:gridCol w:w="174"/>
        <w:gridCol w:w="1631"/>
        <w:gridCol w:w="278"/>
      </w:tblGrid>
      <w:tr>
        <w:trPr/>
        <w:tc>
          <w:tcPr>
            <w:tcW w:w="4194"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194" w:type="dxa"/>
            <w:tcBorders/>
            <w:vAlign w:val="bottom"/>
          </w:tcPr>
          <w:p>
            <w:pPr>
              <w:pStyle w:val="TableContents"/>
              <w:pBdr>
                <w:bottom w:val="single" w:sz="8" w:space="1" w:color="000000"/>
              </w:pBdr>
              <w:bidi w:val="0"/>
              <w:spacing w:before="0" w:after="0"/>
              <w:jc w:val="left"/>
              <w:rPr>
                <w:rFonts w:ascii="Times New Roman" w:hAnsi="Times New Roman"/>
                <w:sz w:val="16"/>
                <w:u w:val="single"/>
              </w:rPr>
            </w:pPr>
            <w:r>
              <w:rPr>
                <w:rFonts w:ascii="Times New Roman" w:hAnsi="Times New Roman"/>
                <w:sz w:val="16"/>
                <w:u w:val="single"/>
              </w:rPr>
              <w:t>TRA Holder</w:t>
            </w:r>
          </w:p>
        </w:tc>
        <w:tc>
          <w:tcPr>
            <w:tcW w:w="662" w:type="dxa"/>
            <w:tcBorders/>
            <w:vAlign w:val="bottom"/>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Percentage Interest</w:t>
            </w:r>
          </w:p>
        </w:tc>
        <w:tc>
          <w:tcPr>
            <w:tcW w:w="278" w:type="dxa"/>
            <w:tcBorders/>
            <w:vAlign w:val="bottom"/>
          </w:tcPr>
          <w:p>
            <w:pPr>
              <w:pStyle w:val="TableContents"/>
              <w:bidi w:val="0"/>
              <w:spacing w:before="0" w:after="283"/>
              <w:jc w:val="left"/>
              <w:rPr/>
            </w:pPr>
            <w:r>
              <w:rPr/>
              <w:t> </w:t>
            </w:r>
          </w:p>
        </w:tc>
      </w:tr>
      <w:tr>
        <w:trPr/>
        <w:tc>
          <w:tcPr>
            <w:tcW w:w="4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OCM ITG Aggregator, LLC</w:t>
            </w:r>
          </w:p>
        </w:tc>
        <w:tc>
          <w:tcPr>
            <w:tcW w:w="66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31.34</w:t>
            </w:r>
          </w:p>
        </w:tc>
        <w:tc>
          <w:tcPr>
            <w:tcW w:w="278" w:type="dxa"/>
            <w:tcBorders/>
            <w:shd w:fill="CCEEFF" w:val="clear"/>
            <w:vAlign w:val="bottom"/>
          </w:tcPr>
          <w:p>
            <w:pPr>
              <w:pStyle w:val="TableContents"/>
              <w:bidi w:val="0"/>
              <w:spacing w:before="0" w:after="283"/>
              <w:jc w:val="left"/>
              <w:rPr/>
            </w:pPr>
            <w:r>
              <w:rPr/>
              <w:t>% </w:t>
            </w:r>
          </w:p>
        </w:tc>
      </w:tr>
      <w:tr>
        <w:trPr/>
        <w:tc>
          <w:tcPr>
            <w:tcW w:w="4194" w:type="dxa"/>
            <w:tcBorders/>
          </w:tcPr>
          <w:p>
            <w:pPr>
              <w:pStyle w:val="TableContents"/>
              <w:bidi w:val="0"/>
              <w:spacing w:before="0" w:after="0"/>
              <w:jc w:val="left"/>
              <w:rPr>
                <w:rFonts w:ascii="Times New Roman" w:hAnsi="Times New Roman"/>
                <w:sz w:val="20"/>
              </w:rPr>
            </w:pPr>
            <w:r>
              <w:rPr>
                <w:rFonts w:ascii="Times New Roman" w:hAnsi="Times New Roman"/>
                <w:sz w:val="20"/>
              </w:rPr>
              <w:t>ITG Management Holdings, LLC</w:t>
            </w:r>
          </w:p>
        </w:tc>
        <w:tc>
          <w:tcPr>
            <w:tcW w:w="66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43.09</w:t>
            </w:r>
          </w:p>
        </w:tc>
        <w:tc>
          <w:tcPr>
            <w:tcW w:w="278" w:type="dxa"/>
            <w:tcBorders/>
            <w:vAlign w:val="bottom"/>
          </w:tcPr>
          <w:p>
            <w:pPr>
              <w:pStyle w:val="TableContents"/>
              <w:bidi w:val="0"/>
              <w:spacing w:before="0" w:after="283"/>
              <w:jc w:val="left"/>
              <w:rPr/>
            </w:pPr>
            <w:r>
              <w:rPr/>
              <w:t>% </w:t>
            </w:r>
          </w:p>
        </w:tc>
      </w:tr>
      <w:tr>
        <w:trPr/>
        <w:tc>
          <w:tcPr>
            <w:tcW w:w="4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OCM Power VI AIV Holdings (Delaware), L.P.</w:t>
            </w:r>
          </w:p>
        </w:tc>
        <w:tc>
          <w:tcPr>
            <w:tcW w:w="66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25.57</w:t>
            </w:r>
          </w:p>
        </w:tc>
        <w:tc>
          <w:tcPr>
            <w:tcW w:w="27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 Signatures of TRA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TRA 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ITG AGGREGATOR,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Lee</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James Lee</w:t>
            </w:r>
          </w:p>
        </w:tc>
      </w:tr>
      <w:tr>
        <w:trPr/>
        <w:tc>
          <w:tcPr>
            <w:tcW w:w="69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MANAGEMENT HOLDINGS,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ITG MH Manager, LLC</w:t>
            </w:r>
          </w:p>
        </w:tc>
      </w:tr>
      <w:tr>
        <w:trPr/>
        <w:tc>
          <w:tcPr>
            <w:tcW w:w="69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Manager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Lee</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James Lee</w:t>
            </w:r>
          </w:p>
        </w:tc>
      </w:tr>
      <w:tr>
        <w:trPr/>
        <w:tc>
          <w:tcPr>
            <w:tcW w:w="69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POWER VI AIV HOLDINGS (DELAWARE), L.P.</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Oaktree Fund GP, LLC</w:t>
            </w:r>
          </w:p>
        </w:tc>
      </w:tr>
      <w:tr>
        <w:trPr/>
        <w:tc>
          <w:tcPr>
            <w:tcW w:w="66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Oaktree Fund GP I, L.P.</w:t>
            </w:r>
          </w:p>
        </w:tc>
      </w:tr>
      <w:tr>
        <w:trPr/>
        <w:tc>
          <w:tcPr>
            <w:tcW w:w="66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Member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Lee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James Lee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Wu</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Robert Wu</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7" w:name="d88011dex103.htm"/>
      <w:bookmarkStart w:id="18" w:name="ksd88011dex103"/>
      <w:bookmarkEnd w:id="17"/>
      <w:bookmarkEnd w:id="18"/>
      <w:r>
        <w:rPr>
          <w:rFonts w:ascii="Times New Roman" w:hAnsi="Times New Roman"/>
          <w:b/>
          <w:sz w:val="20"/>
        </w:rPr>
        <w:t xml:space="preserve">Exhibit 10.3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ITG,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OMNIBUS INCENTIVE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this ITG, Inc. Omnibus Incentive Plan (this “</w:t>
      </w:r>
      <w:r>
        <w:rPr>
          <w:rFonts w:ascii="Times New Roman" w:hAnsi="Times New Roman"/>
          <w:b/>
          <w:sz w:val="20"/>
          <w:u w:val="single"/>
        </w:rPr>
        <w:t>Plan</w:t>
      </w:r>
      <w:r>
        <w:rPr>
          <w:rFonts w:ascii="Times New Roman" w:hAnsi="Times New Roman"/>
          <w:sz w:val="20"/>
        </w:rPr>
        <w:t xml:space="preserve">”)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This Plan is effective as of the date set forth in Article XIV.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Plan,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Affiliate</w:t>
      </w:r>
      <w:r>
        <w:rPr>
          <w:rFonts w:ascii="Times New Roman" w:hAnsi="Times New Roman"/>
          <w:sz w:val="20"/>
        </w:rPr>
        <w:t xml:space="preserve">” means a corporation or other entity controlled by, controlling, or under common control with the Company. The term “control” (including, 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Applicable Law</w:t>
      </w:r>
      <w:r>
        <w:rPr>
          <w:rFonts w:ascii="Times New Roman" w:hAnsi="Times New Roman"/>
          <w:sz w:val="20"/>
        </w:rPr>
        <w:t xml:space="preserve">” means the requirements relating to the administration of equity-based awards and the related shares under U.S. state corporate law, U.S. federal and state securities laws, the rules or requirements of any stock exchange or quotation system on which the shares are listed or quoted, and any other applicable laws, including tax laws, of any U.S. or non-U.S. jurisdictions where Awards are, or will be, granted under this Plan.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Award</w:t>
      </w:r>
      <w:r>
        <w:rPr>
          <w:rFonts w:ascii="Times New Roman" w:hAnsi="Times New Roman"/>
          <w:sz w:val="20"/>
        </w:rPr>
        <w:t xml:space="preserve">” means any award under this Plan of any Stock Option, Stock Appreciation Right, Restricted Stock, Restricted Stock Units, Performance Award, Other Stock-Based Award, or Cash Award. All Awards shall be evidenced by and subject to the terms of an Award Agreement.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Award Agreement</w:t>
      </w:r>
      <w:r>
        <w:rPr>
          <w:rFonts w:ascii="Times New Roman" w:hAnsi="Times New Roman"/>
          <w:sz w:val="20"/>
        </w:rPr>
        <w:t xml:space="preserve">” means the written or electronic agreement, contract, certificate, or other instrument or document evidencing the terms and conditions of an individual Award. Each Award Agreement shall be subject to the terms and conditions of this Plan.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Board</w:t>
      </w:r>
      <w:r>
        <w:rPr>
          <w:rFonts w:ascii="Times New Roman" w:hAnsi="Times New Roman"/>
          <w:sz w:val="20"/>
        </w:rPr>
        <w:t xml:space="preserve">” means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Cash Award</w:t>
      </w:r>
      <w:r>
        <w:rPr>
          <w:rFonts w:ascii="Times New Roman" w:hAnsi="Times New Roman"/>
          <w:sz w:val="20"/>
        </w:rPr>
        <w:t xml:space="preserve">” means an Award granted to an Eligible Individual pursuant to Section 9.3 of this Plan and payable in cash at such time or times and subject to such terms and conditions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Cause</w:t>
      </w:r>
      <w:r>
        <w:rPr>
          <w:rFonts w:ascii="Times New Roman" w:hAnsi="Times New Roman"/>
          <w:sz w:val="20"/>
        </w:rPr>
        <w:t xml:space="preserve">” means, unless otherwise determined by the Committee in the applicable Award Agreement, with respect to a Participant’s Termination of Service, the following: (a) in the case where there is no employment agreement, offer letter, consulting agreement, change in control agreement, or similar agreement in effect between the Company or an Affiliate and the Participant at the time of the grant of the Award (or where there is such agreement in effect but it does not define “cause” (or words of like import)), the Participant’s (i) commission of, conviction or indictment for, or plea of guilty or no contest to, a felony (or state law equivalent) or a crime involving moral turpitude or the commission of any other act involving willful malfeasance or fiduciary breach with respect to the Company or an Affiliate; (ii) willful failure or refusal to perform duties as reasonably directed by the person to whom the Participant reports or to follow any lawful directive pertaining to the Participant’s employment or service to the Company or an Affiliate; (iii) conduct that brings or is reasonably likely to bring the Company or an Affiliate negative publicity or into public disgrace, embarrassment, disrepute, or material economic harm; (iv) negligence or willful misconduct with respect to the Company or an Affiliate; (v) material violation of the Company’s policies or codes of conduct, including policies related to discrimination, harassment, performance of illegal or unethical activities, or ethical misconduct; (vi) fraud, theft or embezzlement associated with the Participant’s employment or service to the Company or an Affiliate; or (vii) breach of any written agreement between the Participant and the Company or an Affiliate, including any representation, warranty or covenant (including any non-competition, non-solicitation, no-hire, or confidentiality covenant) made under such written agreement;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Change in Control</w:t>
      </w:r>
      <w:r>
        <w:rPr>
          <w:rFonts w:ascii="Times New Roman" w:hAnsi="Times New Roman"/>
          <w:sz w:val="20"/>
        </w:rPr>
        <w:t xml:space="preserve">” means and includes each of the following, unless otherwise determined by the Committee in the applicable Award Agreement or other written agreement with a Participant approved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 any Person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fifty percent (50%) or more of the combined voting power of the Company’s then outstanding securities, excluding for purposes herein, acquisitions pursuant to a Business Combination (as defined below) that does not constitute a Change in Control as defined in Section 2.8(b); </w:t>
      </w:r>
    </w:p>
    <w:p>
      <w:pPr>
        <w:pStyle w:val="TextBody"/>
        <w:bidi w:val="0"/>
        <w:spacing w:before="240" w:after="0"/>
        <w:jc w:val="left"/>
        <w:rPr>
          <w:rFonts w:ascii="Times New Roman" w:hAnsi="Times New Roman"/>
          <w:sz w:val="20"/>
        </w:rPr>
      </w:pPr>
      <w:r>
        <w:rPr>
          <w:rFonts w:ascii="Times New Roman" w:hAnsi="Times New Roman"/>
          <w:sz w:val="20"/>
        </w:rPr>
        <w:t>(b) a merger, reorganization, or consolidation of the Company or in which equity securities of the Company are issued (each, a “</w:t>
      </w:r>
      <w:r>
        <w:rPr>
          <w:rFonts w:ascii="Times New Roman" w:hAnsi="Times New Roman"/>
          <w:sz w:val="20"/>
          <w:u w:val="single"/>
        </w:rPr>
        <w:t>Business Combination</w:t>
      </w:r>
      <w:r>
        <w:rPr>
          <w:rFonts w:ascii="Times New Roman" w:hAnsi="Times New Roman"/>
          <w:sz w:val="20"/>
        </w:rPr>
        <w:t xml:space="preserve">”),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fifty percent (50%) of the combined voting power of the voting securities of the Company or such surviving entity (or, as applicable, a direct or indirect parent of the Company or such surviving entity) outstanding immediately after such merger, reorganization or consolidation; </w:t>
      </w:r>
      <w:r>
        <w:rPr>
          <w:rFonts w:ascii="Times New Roman" w:hAnsi="Times New Roman"/>
          <w:i/>
          <w:sz w:val="20"/>
        </w:rPr>
        <w:t>provided, however</w:t>
      </w:r>
      <w:r>
        <w:rPr>
          <w:rFonts w:ascii="Times New Roman" w:hAnsi="Times New Roman"/>
          <w:sz w:val="20"/>
        </w:rPr>
        <w:t xml:space="preserve">, that a merger, reorganization or consolidation effected to implement a recapitalization of the Company (or similar transaction) in which no Person (other than those covered by the exceptions in Section 2.8(a)) acquires more than fifty percent (50%) of the combined voting power of the Company’s then outstanding securities shall not constitute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 during the period of two (2) consecutive years, individuals who, at the beginning of such period, constitute the Board together with any new director(s) (other than a director designated by a Person who has entered into an agreement with the Company to effect a transaction described in Sections 2.8(a) or (b)) whose election by the Board or nomination for election by the Company’s stockholders was approved by a vote of at least two-thirds of the directors then still in office who either were directors at the beginning of the two (2) year period or whose election or nomination for election was previously so approved, cease for any reason to constitute a majority thereof; or </w:t>
      </w:r>
    </w:p>
    <w:p>
      <w:pPr>
        <w:pStyle w:val="TextBody"/>
        <w:bidi w:val="0"/>
        <w:spacing w:before="240" w:after="0"/>
        <w:jc w:val="left"/>
        <w:rPr>
          <w:rFonts w:ascii="Times New Roman" w:hAnsi="Times New Roman"/>
          <w:sz w:val="20"/>
        </w:rPr>
      </w:pPr>
      <w:r>
        <w:rPr>
          <w:rFonts w:ascii="Times New Roman" w:hAnsi="Times New Roman"/>
          <w:sz w:val="20"/>
        </w:rPr>
        <w:t xml:space="preserve">(d)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fifty percent (50%) or more of the combined voting power of the outstanding voting securities of the Company at the time of the sale.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2.8, acquisitions or dispositions of securities of the Company by Oaktree Capital Management, L.P., any of its respective affiliates, or any investment vehicle or fund controlled by or managed by, or otherwise affiliated with Oaktree Capital Management, L.P. shall not, in and of themselves, constitute a Change in Control unless the applicable requirements of Section 2.8(a), (b), (c) or (d) are otherwise satisfied. Notwithstanding the foregoing, with respect to any Award that is characterized as “nonqualified deferred compensation” within the meaning of Section 409A of the Code, an event shall not be considered to be a Change in Control under this Plan for purposes of payment of such Award unless such event is also a “change in ownership,” a “change in effective control,” or a “change in the ownership of a substantial portion of the assets” of the Company within the meaning of Section 409A of the Code. </w:t>
      </w:r>
    </w:p>
    <w:p>
      <w:pPr>
        <w:pStyle w:val="TextBody"/>
        <w:bidi w:val="0"/>
        <w:spacing w:before="240" w:after="0"/>
        <w:jc w:val="left"/>
        <w:rPr>
          <w:rFonts w:ascii="Times New Roman" w:hAnsi="Times New Roman"/>
          <w:sz w:val="20"/>
        </w:rPr>
      </w:pP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Change in Control Price</w:t>
      </w:r>
      <w:r>
        <w:rPr>
          <w:rFonts w:ascii="Times New Roman" w:hAnsi="Times New Roman"/>
          <w:sz w:val="20"/>
        </w:rPr>
        <w:t xml:space="preserve">” means the highest price per Share paid in any transaction related to a Change in Control as determined by the Committee in its discretion. </w:t>
      </w:r>
    </w:p>
    <w:p>
      <w:pPr>
        <w:pStyle w:val="TextBody"/>
        <w:bidi w:val="0"/>
        <w:spacing w:before="24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B</w:t>
      </w:r>
      <w:r>
        <w:rPr>
          <w:rFonts w:ascii="Times New Roman" w:hAnsi="Times New Roman"/>
          <w:sz w:val="20"/>
        </w:rPr>
        <w:t xml:space="preserve">” means the Class B common stock, $0.001 par value per share, of the Company. </w:t>
      </w:r>
    </w:p>
    <w:p>
      <w:pPr>
        <w:pStyle w:val="TextBody"/>
        <w:bidi w:val="0"/>
        <w:spacing w:before="24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Code</w:t>
      </w:r>
      <w:r>
        <w:rPr>
          <w:rFonts w:ascii="Times New Roman" w:hAnsi="Times New Roman"/>
          <w:sz w:val="20"/>
        </w:rPr>
        <w:t xml:space="preserve">” means the U.S. Internal Revenue Code of 1986, as amended from time to time. Any reference to any section of the Code shall also be a reference to any successor provision and any guidance and treasury regulation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u w:val="single"/>
        </w:rPr>
        <w:t>Committee</w:t>
      </w:r>
      <w:r>
        <w:rPr>
          <w:rFonts w:ascii="Times New Roman" w:hAnsi="Times New Roman"/>
          <w:sz w:val="20"/>
        </w:rPr>
        <w:t xml:space="preserve">” means any committee of the Board duly authorized by the Board to administer this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otherwise determined by the Board, the Committee shall consist solely of two or more members of the Board who are each (a) a “non-employee director” within the meaning of Rule 16b-3(b), and (b) “independent” under the listing standards or rules of the securities exchange upon which the Common Stock is traded, but only to the extent such independence is required in order to take the action at issue pursuant to such standards or rules. If no committee is duly authorized by the Board to administer this Plan, the term “Committee” shall be deemed to refer to the Board for all purposes under this Plan. The Board may abolish any Committee or re-vest in itself any previously delegated authority from time to time, and will retain the right to exercise the authority of the Committee to the extent consistent with Applicable Law.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u w:val="single"/>
        </w:rPr>
        <w:t>Common Stock</w:t>
      </w:r>
      <w:r>
        <w:rPr>
          <w:rFonts w:ascii="Times New Roman" w:hAnsi="Times New Roman"/>
          <w:sz w:val="20"/>
        </w:rPr>
        <w:t xml:space="preserve">” means the Class A common stock, $0.001 par value per share, of the Company. </w:t>
      </w:r>
    </w:p>
    <w:p>
      <w:pPr>
        <w:pStyle w:val="TextBody"/>
        <w:bidi w:val="0"/>
        <w:spacing w:before="240" w:after="0"/>
        <w:jc w:val="left"/>
        <w:rPr>
          <w:rFonts w:ascii="Times New Roman" w:hAnsi="Times New Roman"/>
          <w:sz w:val="20"/>
        </w:rPr>
      </w:pPr>
      <w:r>
        <w:rPr>
          <w:rFonts w:ascii="Times New Roman" w:hAnsi="Times New Roman"/>
          <w:b/>
          <w:sz w:val="20"/>
        </w:rPr>
        <w:t>2.14</w:t>
      </w:r>
      <w:r>
        <w:rPr>
          <w:rFonts w:ascii="Times New Roman" w:hAnsi="Times New Roman"/>
          <w:sz w:val="20"/>
        </w:rPr>
        <w:t xml:space="preserve"> “</w:t>
      </w:r>
      <w:r>
        <w:rPr>
          <w:rFonts w:ascii="Times New Roman" w:hAnsi="Times New Roman"/>
          <w:b/>
          <w:sz w:val="20"/>
          <w:u w:val="single"/>
        </w:rPr>
        <w:t>Company</w:t>
      </w:r>
      <w:r>
        <w:rPr>
          <w:rFonts w:ascii="Times New Roman" w:hAnsi="Times New Roman"/>
          <w:sz w:val="20"/>
        </w:rPr>
        <w:t xml:space="preserve">” means ITG, Inc., a Delaware corporation, and its successors by operation of law. </w:t>
      </w:r>
    </w:p>
    <w:p>
      <w:pPr>
        <w:pStyle w:val="TextBody"/>
        <w:bidi w:val="0"/>
        <w:spacing w:before="240" w:after="0"/>
        <w:jc w:val="left"/>
        <w:rPr>
          <w:rFonts w:ascii="Times New Roman" w:hAnsi="Times New Roman"/>
          <w:sz w:val="20"/>
        </w:rPr>
      </w:pPr>
      <w:r>
        <w:rPr>
          <w:rFonts w:ascii="Times New Roman" w:hAnsi="Times New Roman"/>
          <w:b/>
          <w:sz w:val="20"/>
        </w:rPr>
        <w:t>2.15</w:t>
      </w:r>
      <w:r>
        <w:rPr>
          <w:rFonts w:ascii="Times New Roman" w:hAnsi="Times New Roman"/>
          <w:sz w:val="20"/>
        </w:rPr>
        <w:t xml:space="preserve"> “</w:t>
      </w:r>
      <w:r>
        <w:rPr>
          <w:rFonts w:ascii="Times New Roman" w:hAnsi="Times New Roman"/>
          <w:b/>
          <w:sz w:val="20"/>
          <w:u w:val="single"/>
        </w:rPr>
        <w:t>Consultant</w:t>
      </w:r>
      <w:r>
        <w:rPr>
          <w:rFonts w:ascii="Times New Roman" w:hAnsi="Times New Roman"/>
          <w:sz w:val="20"/>
        </w:rPr>
        <w:t xml:space="preserve">” means any natural person who is an advisor or consultant or other service provider to the Company or any of its Affiliates.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xml:space="preserve"> “</w:t>
      </w:r>
      <w:r>
        <w:rPr>
          <w:rFonts w:ascii="Times New Roman" w:hAnsi="Times New Roman"/>
          <w:b/>
          <w:sz w:val="20"/>
          <w:u w:val="single"/>
        </w:rPr>
        <w:t>Detrimental Conduct</w:t>
      </w:r>
      <w:r>
        <w:rPr>
          <w:rFonts w:ascii="Times New Roman" w:hAnsi="Times New Roman"/>
          <w:sz w:val="20"/>
        </w:rPr>
        <w:t xml:space="preserve">” means, as determined by the Company, a Participant’s serious misconduct or unethical behavior, including any of the following: (a) any violation by the Participant of a restrictive covenant agreement that the Participant has entered into with the Company or an Affiliate (covering, for example, confidentiality, non-competition, non-solicitation, non-disparagement, etc.); (b) any conduct by the Participant that could result in the Participant’s Termination of Service for Cause; (c) the commission of a criminal act by the Participant, whether or not performed in the workplace, that subjects, or if generally known would subject, the Company or an Affiliate to public ridicule or embarrassment, or other improper or intentional conduct by the Participant causing reputational harm to the Company, an Affiliate, or a client or former client of the Company or an Affiliate; (d) the Participant’s breach of a fiduciary duty owed to the Company or an Affiliate or a client or former client of the Company or an Affiliate; (e) the Participant’s intentional violation, or grossly negligent disregard, of the Company’s or an Affiliate’s policies, rules, or procedures; or (f) the Participant taking or maintaining trading positions that result in a need to restate financial results in a subsequent reporting period or that result in a significant financial loss to the Company or an Affiliate. </w:t>
      </w:r>
    </w:p>
    <w:p>
      <w:pPr>
        <w:pStyle w:val="TextBody"/>
        <w:bidi w:val="0"/>
        <w:spacing w:before="240" w:after="0"/>
        <w:jc w:val="left"/>
        <w:rPr>
          <w:rFonts w:ascii="Times New Roman" w:hAnsi="Times New Roman"/>
          <w:sz w:val="20"/>
        </w:rPr>
      </w:pPr>
      <w:r>
        <w:rPr>
          <w:rFonts w:ascii="Times New Roman" w:hAnsi="Times New Roman"/>
          <w:b/>
          <w:sz w:val="20"/>
        </w:rPr>
        <w:t>2.17</w:t>
      </w:r>
      <w:r>
        <w:rPr>
          <w:rFonts w:ascii="Times New Roman" w:hAnsi="Times New Roman"/>
          <w:sz w:val="20"/>
        </w:rPr>
        <w:t xml:space="preserve"> “</w:t>
      </w:r>
      <w:r>
        <w:rPr>
          <w:rFonts w:ascii="Times New Roman" w:hAnsi="Times New Roman"/>
          <w:b/>
          <w:sz w:val="20"/>
          <w:u w:val="single"/>
        </w:rPr>
        <w:t>Disability</w:t>
      </w:r>
      <w:r>
        <w:rPr>
          <w:rFonts w:ascii="Times New Roman" w:hAnsi="Times New Roman"/>
          <w:sz w:val="20"/>
        </w:rPr>
        <w:t xml:space="preserve">” means, unless otherwise determined by the Committee in the applicable Award Agreement, with respect to a Participant’s Termination of Service, that the Participant is unable to engage in any substantial gainful activity by reason of any medically determinable physical or mental impairment, after accounting for reasonable accommodations (if applicable and required by Applicable Law); </w:t>
      </w:r>
      <w:r>
        <w:rPr>
          <w:rFonts w:ascii="Times New Roman" w:hAnsi="Times New Roman"/>
          <w:i/>
          <w:sz w:val="20"/>
        </w:rPr>
        <w:t>provided, however</w:t>
      </w:r>
      <w:r>
        <w:rPr>
          <w:rFonts w:ascii="Times New Roman" w:hAnsi="Times New Roman"/>
          <w:sz w:val="20"/>
        </w:rPr>
        <w:t xml:space="preserve">,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2.18</w:t>
      </w:r>
      <w:r>
        <w:rPr>
          <w:rFonts w:ascii="Times New Roman" w:hAnsi="Times New Roman"/>
          <w:sz w:val="20"/>
        </w:rPr>
        <w:t xml:space="preserve"> “</w:t>
      </w:r>
      <w:r>
        <w:rPr>
          <w:rFonts w:ascii="Times New Roman" w:hAnsi="Times New Roman"/>
          <w:b/>
          <w:sz w:val="20"/>
          <w:u w:val="single"/>
        </w:rPr>
        <w:t>Dividend Equivalent Rights</w:t>
      </w:r>
      <w:r>
        <w:rPr>
          <w:rFonts w:ascii="Times New Roman" w:hAnsi="Times New Roman"/>
          <w:sz w:val="20"/>
        </w:rPr>
        <w:t xml:space="preserve">” means a right granted to a Participant under this Plan to receive the equivalent value (in cash or Shares) of dividends paid 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2.19</w:t>
      </w:r>
      <w:r>
        <w:rPr>
          <w:rFonts w:ascii="Times New Roman" w:hAnsi="Times New Roman"/>
          <w:sz w:val="20"/>
        </w:rPr>
        <w:t xml:space="preserve"> “</w:t>
      </w:r>
      <w:r>
        <w:rPr>
          <w:rFonts w:ascii="Times New Roman" w:hAnsi="Times New Roman"/>
          <w:b/>
          <w:sz w:val="20"/>
          <w:u w:val="single"/>
        </w:rPr>
        <w:t>Effective Date</w:t>
      </w:r>
      <w:r>
        <w:rPr>
          <w:rFonts w:ascii="Times New Roman" w:hAnsi="Times New Roman"/>
          <w:sz w:val="20"/>
        </w:rPr>
        <w:t xml:space="preserve">” means the effective date of this Plan as defined in Article XIV. </w:t>
      </w:r>
    </w:p>
    <w:p>
      <w:pPr>
        <w:pStyle w:val="TextBody"/>
        <w:bidi w:val="0"/>
        <w:spacing w:before="240" w:after="0"/>
        <w:jc w:val="left"/>
        <w:rPr>
          <w:rFonts w:ascii="Times New Roman" w:hAnsi="Times New Roman"/>
          <w:sz w:val="20"/>
        </w:rPr>
      </w:pPr>
      <w:r>
        <w:rPr>
          <w:rFonts w:ascii="Times New Roman" w:hAnsi="Times New Roman"/>
          <w:b/>
          <w:sz w:val="20"/>
        </w:rPr>
        <w:t>2.20</w:t>
      </w:r>
      <w:r>
        <w:rPr>
          <w:rFonts w:ascii="Times New Roman" w:hAnsi="Times New Roman"/>
          <w:sz w:val="20"/>
        </w:rPr>
        <w:t xml:space="preserve"> “</w:t>
      </w:r>
      <w:r>
        <w:rPr>
          <w:rFonts w:ascii="Times New Roman" w:hAnsi="Times New Roman"/>
          <w:b/>
          <w:sz w:val="20"/>
          <w:u w:val="single"/>
        </w:rPr>
        <w:t>Eligible Employee</w:t>
      </w:r>
      <w:r>
        <w:rPr>
          <w:rFonts w:ascii="Times New Roman" w:hAnsi="Times New Roman"/>
          <w:sz w:val="20"/>
        </w:rPr>
        <w:t xml:space="preserve">” means each employee of the Company or any of its Affiliates. An employee on a leave of absence may be an Eligible Employee. </w:t>
      </w:r>
    </w:p>
    <w:p>
      <w:pPr>
        <w:pStyle w:val="TextBody"/>
        <w:bidi w:val="0"/>
        <w:spacing w:before="240" w:after="0"/>
        <w:jc w:val="left"/>
        <w:rPr>
          <w:rFonts w:ascii="Times New Roman" w:hAnsi="Times New Roman"/>
          <w:sz w:val="20"/>
        </w:rPr>
      </w:pPr>
      <w:r>
        <w:rPr>
          <w:rFonts w:ascii="Times New Roman" w:hAnsi="Times New Roman"/>
          <w:b/>
          <w:sz w:val="20"/>
        </w:rPr>
        <w:t>2.21</w:t>
      </w:r>
      <w:r>
        <w:rPr>
          <w:rFonts w:ascii="Times New Roman" w:hAnsi="Times New Roman"/>
          <w:sz w:val="20"/>
        </w:rPr>
        <w:t xml:space="preserve"> “</w:t>
      </w:r>
      <w:r>
        <w:rPr>
          <w:rFonts w:ascii="Times New Roman" w:hAnsi="Times New Roman"/>
          <w:b/>
          <w:sz w:val="20"/>
          <w:u w:val="single"/>
        </w:rPr>
        <w:t>Eligible Individual</w:t>
      </w:r>
      <w:r>
        <w:rPr>
          <w:rFonts w:ascii="Times New Roman" w:hAnsi="Times New Roman"/>
          <w:sz w:val="20"/>
        </w:rPr>
        <w:t xml:space="preserve">” means an Eligible Employee, Non-Employee Director, or Consultant who is designated by the Committee in its discretion as eligible to receive Awards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2.22</w:t>
      </w:r>
      <w:r>
        <w:rPr>
          <w:rFonts w:ascii="Times New Roman" w:hAnsi="Times New Roman"/>
          <w:sz w:val="20"/>
        </w:rPr>
        <w:t xml:space="preserve"> “</w:t>
      </w:r>
      <w:r>
        <w:rPr>
          <w:rFonts w:ascii="Times New Roman" w:hAnsi="Times New Roman"/>
          <w:b/>
          <w:sz w:val="20"/>
          <w:u w:val="single"/>
        </w:rPr>
        <w:t>Exchange Act</w:t>
      </w:r>
      <w:r>
        <w:rPr>
          <w:rFonts w:ascii="Times New Roman" w:hAnsi="Times New Roman"/>
          <w:sz w:val="20"/>
        </w:rPr>
        <w:t xml:space="preserve">” 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b/>
          <w:sz w:val="20"/>
        </w:rPr>
        <w:t>2.23</w:t>
      </w:r>
      <w:r>
        <w:rPr>
          <w:rFonts w:ascii="Times New Roman" w:hAnsi="Times New Roman"/>
          <w:sz w:val="20"/>
        </w:rPr>
        <w:t xml:space="preserve"> “</w:t>
      </w:r>
      <w:r>
        <w:rPr>
          <w:rFonts w:ascii="Times New Roman" w:hAnsi="Times New Roman"/>
          <w:b/>
          <w:sz w:val="20"/>
          <w:u w:val="single"/>
        </w:rPr>
        <w:t>Fair Market Value</w:t>
      </w:r>
      <w:r>
        <w:rPr>
          <w:rFonts w:ascii="Times New Roman" w:hAnsi="Times New Roman"/>
          <w:sz w:val="20"/>
        </w:rPr>
        <w:t xml:space="preserve">” means, for purposes of this Plan, unless otherwise required by any applicable provision of the Code or any regulations issued thereunder, as of any date and except as provided below, the last sales price reported for the Common Stock on the applicable date: (a) as reported on the principal national securities exchange in the United States on which it is then traded, listed or otherwise reported or quoted or (b) if the Common Stock is not traded, listed, or otherwise reported or quoted, the Committee shall determine in good faith the Fair Market Value in whatever manner it considers appropriate, taking into account the requirements of Section 409A of the Code. For purposes of the grant of any Award, the applicable date 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b/>
          <w:sz w:val="20"/>
        </w:rPr>
        <w:t>2.24</w:t>
      </w:r>
      <w:r>
        <w:rPr>
          <w:rFonts w:ascii="Times New Roman" w:hAnsi="Times New Roman"/>
          <w:sz w:val="20"/>
        </w:rPr>
        <w:t xml:space="preserve"> “</w:t>
      </w:r>
      <w:r>
        <w:rPr>
          <w:rFonts w:ascii="Times New Roman" w:hAnsi="Times New Roman"/>
          <w:b/>
          <w:sz w:val="20"/>
          <w:u w:val="single"/>
        </w:rPr>
        <w:t>Family Member</w:t>
      </w:r>
      <w:r>
        <w:rPr>
          <w:rFonts w:ascii="Times New Roman" w:hAnsi="Times New Roman"/>
          <w:sz w:val="20"/>
        </w:rPr>
        <w:t xml:space="preserve">” means “family member” as defined in Section A.1.(a)(5) of the general instructions of Form S-8. </w:t>
      </w:r>
    </w:p>
    <w:p>
      <w:pPr>
        <w:pStyle w:val="TextBody"/>
        <w:bidi w:val="0"/>
        <w:spacing w:before="240" w:after="0"/>
        <w:jc w:val="left"/>
        <w:rPr>
          <w:rFonts w:ascii="Times New Roman" w:hAnsi="Times New Roman"/>
          <w:sz w:val="20"/>
        </w:rPr>
      </w:pPr>
      <w:r>
        <w:rPr>
          <w:rFonts w:ascii="Times New Roman" w:hAnsi="Times New Roman"/>
          <w:b/>
          <w:sz w:val="20"/>
        </w:rPr>
        <w:t>2.25</w:t>
      </w:r>
      <w:r>
        <w:rPr>
          <w:rFonts w:ascii="Times New Roman" w:hAnsi="Times New Roman"/>
          <w:sz w:val="20"/>
        </w:rPr>
        <w:t xml:space="preserve"> “</w:t>
      </w:r>
      <w:r>
        <w:rPr>
          <w:rFonts w:ascii="Times New Roman" w:hAnsi="Times New Roman"/>
          <w:b/>
          <w:sz w:val="20"/>
          <w:u w:val="single"/>
        </w:rPr>
        <w:t>Incentive Stock Option</w:t>
      </w:r>
      <w:r>
        <w:rPr>
          <w:rFonts w:ascii="Times New Roman" w:hAnsi="Times New Roman"/>
          <w:sz w:val="20"/>
        </w:rPr>
        <w:t xml:space="preserve">” means any Stock Option granted to an Eligible Employee who is an employee of the Company, its Parents or its Subsidiaries under this Plan and that is intended to be, and is designated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2.26</w:t>
      </w:r>
      <w:r>
        <w:rPr>
          <w:rFonts w:ascii="Times New Roman" w:hAnsi="Times New Roman"/>
          <w:sz w:val="20"/>
        </w:rPr>
        <w:t xml:space="preserve"> “</w:t>
      </w:r>
      <w:r>
        <w:rPr>
          <w:rFonts w:ascii="Times New Roman" w:hAnsi="Times New Roman"/>
          <w:b/>
          <w:sz w:val="20"/>
          <w:u w:val="single"/>
        </w:rPr>
        <w:t>Non-Employee Director</w:t>
      </w:r>
      <w:r>
        <w:rPr>
          <w:rFonts w:ascii="Times New Roman" w:hAnsi="Times New Roman"/>
          <w:sz w:val="20"/>
        </w:rPr>
        <w:t xml:space="preserve">” means a director on the Board who is not an employee of the Company. </w:t>
      </w:r>
    </w:p>
    <w:p>
      <w:pPr>
        <w:pStyle w:val="TextBody"/>
        <w:bidi w:val="0"/>
        <w:spacing w:before="240" w:after="0"/>
        <w:jc w:val="left"/>
        <w:rPr>
          <w:rFonts w:ascii="Times New Roman" w:hAnsi="Times New Roman"/>
          <w:sz w:val="20"/>
        </w:rPr>
      </w:pPr>
      <w:r>
        <w:rPr>
          <w:rFonts w:ascii="Times New Roman" w:hAnsi="Times New Roman"/>
          <w:b/>
          <w:sz w:val="20"/>
        </w:rPr>
        <w:t>2.27</w:t>
      </w:r>
      <w:r>
        <w:rPr>
          <w:rFonts w:ascii="Times New Roman" w:hAnsi="Times New Roman"/>
          <w:sz w:val="20"/>
        </w:rPr>
        <w:t xml:space="preserve"> “</w:t>
      </w:r>
      <w:r>
        <w:rPr>
          <w:rFonts w:ascii="Times New Roman" w:hAnsi="Times New Roman"/>
          <w:b/>
          <w:sz w:val="20"/>
          <w:u w:val="single"/>
        </w:rPr>
        <w:t>Non-Qualified Stock Option</w:t>
      </w:r>
      <w:r>
        <w:rPr>
          <w:rFonts w:ascii="Times New Roman" w:hAnsi="Times New Roman"/>
          <w:sz w:val="20"/>
        </w:rPr>
        <w:t xml:space="preserve">” means any Stock Option granted under this Plan that is not an Incentive Stock Option. </w:t>
      </w:r>
    </w:p>
    <w:p>
      <w:pPr>
        <w:pStyle w:val="TextBody"/>
        <w:bidi w:val="0"/>
        <w:spacing w:before="240" w:after="0"/>
        <w:jc w:val="left"/>
        <w:rPr>
          <w:rFonts w:ascii="Times New Roman" w:hAnsi="Times New Roman"/>
          <w:sz w:val="20"/>
        </w:rPr>
      </w:pPr>
      <w:r>
        <w:rPr>
          <w:rFonts w:ascii="Times New Roman" w:hAnsi="Times New Roman"/>
          <w:b/>
          <w:sz w:val="20"/>
        </w:rPr>
        <w:t>2.28</w:t>
      </w:r>
      <w:r>
        <w:rPr>
          <w:rFonts w:ascii="Times New Roman" w:hAnsi="Times New Roman"/>
          <w:sz w:val="20"/>
        </w:rPr>
        <w:t xml:space="preserve"> “</w:t>
      </w:r>
      <w:r>
        <w:rPr>
          <w:rFonts w:ascii="Times New Roman" w:hAnsi="Times New Roman"/>
          <w:b/>
          <w:sz w:val="20"/>
          <w:u w:val="single"/>
        </w:rPr>
        <w:t>Other Stock-Based Award</w:t>
      </w:r>
      <w:r>
        <w:rPr>
          <w:rFonts w:ascii="Times New Roman" w:hAnsi="Times New Roman"/>
          <w:sz w:val="20"/>
        </w:rPr>
        <w:t xml:space="preserve">” means an Award granted under Article IX of this Plan that is valued in whole or in part by reference to, or is payable in or otherwise based on, Shares, but may be settled in the form of Shares or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2.29</w:t>
      </w:r>
      <w:r>
        <w:rPr>
          <w:rFonts w:ascii="Times New Roman" w:hAnsi="Times New Roman"/>
          <w:sz w:val="20"/>
        </w:rPr>
        <w:t xml:space="preserve"> “</w:t>
      </w:r>
      <w:r>
        <w:rPr>
          <w:rFonts w:ascii="Times New Roman" w:hAnsi="Times New Roman"/>
          <w:b/>
          <w:sz w:val="20"/>
          <w:u w:val="single"/>
        </w:rPr>
        <w:t>Parent</w:t>
      </w:r>
      <w:r>
        <w:rPr>
          <w:rFonts w:ascii="Times New Roman" w:hAnsi="Times New Roman"/>
          <w:sz w:val="20"/>
        </w:rPr>
        <w:t xml:space="preserve">” means any parent corporation of the Company within the meaning of Section 424(e) of the Code. </w:t>
      </w:r>
    </w:p>
    <w:p>
      <w:pPr>
        <w:pStyle w:val="TextBody"/>
        <w:bidi w:val="0"/>
        <w:spacing w:before="240" w:after="0"/>
        <w:jc w:val="left"/>
        <w:rPr>
          <w:rFonts w:ascii="Times New Roman" w:hAnsi="Times New Roman"/>
          <w:sz w:val="20"/>
        </w:rPr>
      </w:pPr>
      <w:r>
        <w:rPr>
          <w:rFonts w:ascii="Times New Roman" w:hAnsi="Times New Roman"/>
          <w:b/>
          <w:sz w:val="20"/>
        </w:rPr>
        <w:t>2.30</w:t>
      </w:r>
      <w:r>
        <w:rPr>
          <w:rFonts w:ascii="Times New Roman" w:hAnsi="Times New Roman"/>
          <w:sz w:val="20"/>
        </w:rPr>
        <w:t xml:space="preserve"> “</w:t>
      </w:r>
      <w:r>
        <w:rPr>
          <w:rFonts w:ascii="Times New Roman" w:hAnsi="Times New Roman"/>
          <w:b/>
          <w:sz w:val="20"/>
          <w:u w:val="single"/>
        </w:rPr>
        <w:t>Participant</w:t>
      </w:r>
      <w:r>
        <w:rPr>
          <w:rFonts w:ascii="Times New Roman" w:hAnsi="Times New Roman"/>
          <w:sz w:val="20"/>
        </w:rPr>
        <w:t xml:space="preserve">” means an Eligible Individual to whom an Award has been granted pursuant to this Plan. </w:t>
      </w:r>
    </w:p>
    <w:p>
      <w:pPr>
        <w:pStyle w:val="TextBody"/>
        <w:bidi w:val="0"/>
        <w:spacing w:before="240" w:after="0"/>
        <w:jc w:val="left"/>
        <w:rPr>
          <w:rFonts w:ascii="Times New Roman" w:hAnsi="Times New Roman"/>
          <w:sz w:val="20"/>
        </w:rPr>
      </w:pPr>
      <w:r>
        <w:rPr>
          <w:rFonts w:ascii="Times New Roman" w:hAnsi="Times New Roman"/>
          <w:b/>
          <w:sz w:val="20"/>
        </w:rPr>
        <w:t>2.31</w:t>
      </w:r>
      <w:r>
        <w:rPr>
          <w:rFonts w:ascii="Times New Roman" w:hAnsi="Times New Roman"/>
          <w:sz w:val="20"/>
        </w:rPr>
        <w:t xml:space="preserve"> “</w:t>
      </w:r>
      <w:r>
        <w:rPr>
          <w:rFonts w:ascii="Times New Roman" w:hAnsi="Times New Roman"/>
          <w:b/>
          <w:sz w:val="20"/>
          <w:u w:val="single"/>
        </w:rPr>
        <w:t>Performance Award</w:t>
      </w:r>
      <w:r>
        <w:rPr>
          <w:rFonts w:ascii="Times New Roman" w:hAnsi="Times New Roman"/>
          <w:sz w:val="20"/>
        </w:rPr>
        <w:t xml:space="preserve">” means an Award granted under Article VIII of this Plan. </w:t>
      </w:r>
    </w:p>
    <w:p>
      <w:pPr>
        <w:pStyle w:val="TextBody"/>
        <w:bidi w:val="0"/>
        <w:spacing w:before="240" w:after="0"/>
        <w:jc w:val="left"/>
        <w:rPr>
          <w:rFonts w:ascii="Times New Roman" w:hAnsi="Times New Roman"/>
          <w:sz w:val="20"/>
        </w:rPr>
      </w:pPr>
      <w:r>
        <w:rPr>
          <w:rFonts w:ascii="Times New Roman" w:hAnsi="Times New Roman"/>
          <w:b/>
          <w:sz w:val="20"/>
        </w:rPr>
        <w:t>2.32</w:t>
      </w:r>
      <w:r>
        <w:rPr>
          <w:rFonts w:ascii="Times New Roman" w:hAnsi="Times New Roman"/>
          <w:sz w:val="20"/>
        </w:rPr>
        <w:t xml:space="preserve"> “</w:t>
      </w:r>
      <w:r>
        <w:rPr>
          <w:rFonts w:ascii="Times New Roman" w:hAnsi="Times New Roman"/>
          <w:b/>
          <w:sz w:val="20"/>
          <w:u w:val="single"/>
        </w:rPr>
        <w:t>Performance Goals</w:t>
      </w:r>
      <w:r>
        <w:rPr>
          <w:rFonts w:ascii="Times New Roman" w:hAnsi="Times New Roman"/>
          <w:sz w:val="20"/>
        </w:rPr>
        <w:t xml:space="preserve">” means goals established by the Committee as contingencies for Awards to vest and/or become exercisable or distributable. </w:t>
      </w:r>
    </w:p>
    <w:p>
      <w:pPr>
        <w:pStyle w:val="TextBody"/>
        <w:bidi w:val="0"/>
        <w:spacing w:before="240" w:after="0"/>
        <w:jc w:val="left"/>
        <w:rPr>
          <w:rFonts w:ascii="Times New Roman" w:hAnsi="Times New Roman"/>
          <w:sz w:val="20"/>
        </w:rPr>
      </w:pPr>
      <w:r>
        <w:rPr>
          <w:rFonts w:ascii="Times New Roman" w:hAnsi="Times New Roman"/>
          <w:b/>
          <w:sz w:val="20"/>
        </w:rPr>
        <w:t>2.33</w:t>
      </w:r>
      <w:r>
        <w:rPr>
          <w:rFonts w:ascii="Times New Roman" w:hAnsi="Times New Roman"/>
          <w:sz w:val="20"/>
        </w:rPr>
        <w:t xml:space="preserve"> “</w:t>
      </w:r>
      <w:r>
        <w:rPr>
          <w:rFonts w:ascii="Times New Roman" w:hAnsi="Times New Roman"/>
          <w:b/>
          <w:sz w:val="20"/>
          <w:u w:val="single"/>
        </w:rPr>
        <w:t>Performance Period</w:t>
      </w:r>
      <w:r>
        <w:rPr>
          <w:rFonts w:ascii="Times New Roman" w:hAnsi="Times New Roman"/>
          <w:sz w:val="20"/>
        </w:rPr>
        <w:t xml:space="preserve">” means the designated period during which the Performance Goals must be satisfied with respect to the Award to which the Performance Goals relate. </w:t>
      </w:r>
    </w:p>
    <w:p>
      <w:pPr>
        <w:pStyle w:val="TextBody"/>
        <w:bidi w:val="0"/>
        <w:spacing w:before="240" w:after="0"/>
        <w:jc w:val="left"/>
        <w:rPr>
          <w:rFonts w:ascii="Times New Roman" w:hAnsi="Times New Roman"/>
          <w:sz w:val="20"/>
        </w:rPr>
      </w:pPr>
      <w:r>
        <w:rPr>
          <w:rFonts w:ascii="Times New Roman" w:hAnsi="Times New Roman"/>
          <w:b/>
          <w:sz w:val="20"/>
        </w:rPr>
        <w:t>2.34</w:t>
      </w:r>
      <w:r>
        <w:rPr>
          <w:rFonts w:ascii="Times New Roman" w:hAnsi="Times New Roman"/>
          <w:sz w:val="20"/>
        </w:rPr>
        <w:t xml:space="preserve"> “</w:t>
      </w:r>
      <w:r>
        <w:rPr>
          <w:rFonts w:ascii="Times New Roman" w:hAnsi="Times New Roman"/>
          <w:b/>
          <w:sz w:val="20"/>
          <w:u w:val="single"/>
        </w:rPr>
        <w:t>Person</w:t>
      </w:r>
      <w:r>
        <w:rPr>
          <w:rFonts w:ascii="Times New Roman" w:hAnsi="Times New Roman"/>
          <w:sz w:val="20"/>
        </w:rPr>
        <w:t xml:space="preserve">” means any “person” as such term is used in Sections 13(d) and 14(d) of the Exchange Act. </w:t>
      </w:r>
    </w:p>
    <w:p>
      <w:pPr>
        <w:pStyle w:val="TextBody"/>
        <w:bidi w:val="0"/>
        <w:spacing w:before="240" w:after="0"/>
        <w:jc w:val="left"/>
        <w:rPr>
          <w:rFonts w:ascii="Times New Roman" w:hAnsi="Times New Roman"/>
          <w:sz w:val="20"/>
        </w:rPr>
      </w:pPr>
      <w:r>
        <w:rPr>
          <w:rFonts w:ascii="Times New Roman" w:hAnsi="Times New Roman"/>
          <w:b/>
          <w:sz w:val="20"/>
        </w:rPr>
        <w:t>2.35</w:t>
      </w:r>
      <w:r>
        <w:rPr>
          <w:rFonts w:ascii="Times New Roman" w:hAnsi="Times New Roman"/>
          <w:sz w:val="20"/>
        </w:rPr>
        <w:t xml:space="preserve"> “</w:t>
      </w:r>
      <w:r>
        <w:rPr>
          <w:rFonts w:ascii="Times New Roman" w:hAnsi="Times New Roman"/>
          <w:b/>
          <w:sz w:val="20"/>
          <w:u w:val="single"/>
        </w:rPr>
        <w:t>Restricted Stock</w:t>
      </w:r>
      <w:r>
        <w:rPr>
          <w:rFonts w:ascii="Times New Roman" w:hAnsi="Times New Roman"/>
          <w:sz w:val="20"/>
        </w:rPr>
        <w:t xml:space="preserve">” means an Award of Shares granted under Article VII of this Plan. </w:t>
      </w:r>
    </w:p>
    <w:p>
      <w:pPr>
        <w:pStyle w:val="TextBody"/>
        <w:bidi w:val="0"/>
        <w:spacing w:before="240" w:after="0"/>
        <w:jc w:val="left"/>
        <w:rPr>
          <w:rFonts w:ascii="Times New Roman" w:hAnsi="Times New Roman"/>
          <w:sz w:val="20"/>
        </w:rPr>
      </w:pPr>
      <w:r>
        <w:rPr>
          <w:rFonts w:ascii="Times New Roman" w:hAnsi="Times New Roman"/>
          <w:b/>
          <w:sz w:val="20"/>
        </w:rPr>
        <w:t>2.36</w:t>
      </w:r>
      <w:r>
        <w:rPr>
          <w:rFonts w:ascii="Times New Roman" w:hAnsi="Times New Roman"/>
          <w:sz w:val="20"/>
        </w:rPr>
        <w:t xml:space="preserve"> “</w:t>
      </w:r>
      <w:r>
        <w:rPr>
          <w:rFonts w:ascii="Times New Roman" w:hAnsi="Times New Roman"/>
          <w:b/>
          <w:sz w:val="20"/>
          <w:u w:val="single"/>
        </w:rPr>
        <w:t>Restricted Stock Unit</w:t>
      </w:r>
      <w:r>
        <w:rPr>
          <w:rFonts w:ascii="Times New Roman" w:hAnsi="Times New Roman"/>
          <w:sz w:val="20"/>
        </w:rPr>
        <w:t xml:space="preserve">” means an unfunded, unsecured right to receive, on the applicable settlement date, one Share or an amount in cash or other consideration determined by the Committee to be of equal value as of such settlement date, subject to certain vesting conditions and other restrictions. </w:t>
      </w:r>
    </w:p>
    <w:p>
      <w:pPr>
        <w:pStyle w:val="TextBody"/>
        <w:bidi w:val="0"/>
        <w:spacing w:before="240" w:after="0"/>
        <w:jc w:val="left"/>
        <w:rPr>
          <w:rFonts w:ascii="Times New Roman" w:hAnsi="Times New Roman"/>
          <w:sz w:val="20"/>
        </w:rPr>
      </w:pPr>
      <w:r>
        <w:rPr>
          <w:rFonts w:ascii="Times New Roman" w:hAnsi="Times New Roman"/>
          <w:b/>
          <w:sz w:val="20"/>
        </w:rPr>
        <w:t>2.37</w:t>
      </w:r>
      <w:r>
        <w:rPr>
          <w:rFonts w:ascii="Times New Roman" w:hAnsi="Times New Roman"/>
          <w:sz w:val="20"/>
        </w:rPr>
        <w:t xml:space="preserve"> “</w:t>
      </w:r>
      <w:r>
        <w:rPr>
          <w:rFonts w:ascii="Times New Roman" w:hAnsi="Times New Roman"/>
          <w:b/>
          <w:sz w:val="20"/>
          <w:u w:val="single"/>
        </w:rPr>
        <w:t>Rule 16b-3</w:t>
      </w:r>
      <w:r>
        <w:rPr>
          <w:rFonts w:ascii="Times New Roman" w:hAnsi="Times New Roman"/>
          <w:sz w:val="20"/>
        </w:rPr>
        <w:t xml:space="preserve">” means Rule 16b-3 under Section 16(b) of the Exchange Act as then in effect or any successor provision. </w:t>
      </w:r>
    </w:p>
    <w:p>
      <w:pPr>
        <w:pStyle w:val="TextBody"/>
        <w:bidi w:val="0"/>
        <w:spacing w:before="240" w:after="0"/>
        <w:jc w:val="left"/>
        <w:rPr>
          <w:rFonts w:ascii="Times New Roman" w:hAnsi="Times New Roman"/>
          <w:sz w:val="20"/>
        </w:rPr>
      </w:pPr>
      <w:r>
        <w:rPr>
          <w:rFonts w:ascii="Times New Roman" w:hAnsi="Times New Roman"/>
          <w:b/>
          <w:sz w:val="20"/>
        </w:rPr>
        <w:t>2.38</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409A of the Code</w:t>
      </w:r>
      <w:r>
        <w:rPr>
          <w:rFonts w:ascii="Times New Roman" w:hAnsi="Times New Roman"/>
          <w:sz w:val="20"/>
        </w:rPr>
        <w:t xml:space="preserve">” means the nonqualified deferred compensation rules under Section 409A of the Code and any applicable treasury regulations and other official guidance thereunder. </w:t>
      </w:r>
    </w:p>
    <w:p>
      <w:pPr>
        <w:pStyle w:val="TextBody"/>
        <w:bidi w:val="0"/>
        <w:spacing w:before="240" w:after="0"/>
        <w:jc w:val="left"/>
        <w:rPr>
          <w:rFonts w:ascii="Times New Roman" w:hAnsi="Times New Roman"/>
          <w:sz w:val="20"/>
        </w:rPr>
      </w:pPr>
      <w:r>
        <w:rPr>
          <w:rFonts w:ascii="Times New Roman" w:hAnsi="Times New Roman"/>
          <w:b/>
          <w:sz w:val="20"/>
        </w:rPr>
        <w:t>2.39</w:t>
      </w:r>
      <w:r>
        <w:rPr>
          <w:rFonts w:ascii="Times New Roman" w:hAnsi="Times New Roman"/>
          <w:sz w:val="20"/>
        </w:rPr>
        <w:t xml:space="preserve"> “</w:t>
      </w:r>
      <w:r>
        <w:rPr>
          <w:rFonts w:ascii="Times New Roman" w:hAnsi="Times New Roman"/>
          <w:b/>
          <w:sz w:val="20"/>
          <w:u w:val="single"/>
        </w:rPr>
        <w:t>Securities Act</w:t>
      </w:r>
      <w:r>
        <w:rPr>
          <w:rFonts w:ascii="Times New Roman" w:hAnsi="Times New Roman"/>
          <w:sz w:val="20"/>
        </w:rPr>
        <w:t xml:space="preserve">”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b/>
          <w:sz w:val="20"/>
        </w:rPr>
        <w:t>2.40</w:t>
      </w:r>
      <w:r>
        <w:rPr>
          <w:rFonts w:ascii="Times New Roman" w:hAnsi="Times New Roman"/>
          <w:sz w:val="20"/>
        </w:rPr>
        <w:t xml:space="preserve"> “</w:t>
      </w:r>
      <w:r>
        <w:rPr>
          <w:rFonts w:ascii="Times New Roman" w:hAnsi="Times New Roman"/>
          <w:b/>
          <w:sz w:val="20"/>
          <w:u w:val="single"/>
        </w:rPr>
        <w:t>Shares</w:t>
      </w:r>
      <w:r>
        <w:rPr>
          <w:rFonts w:ascii="Times New Roman" w:hAnsi="Times New Roman"/>
          <w:sz w:val="20"/>
        </w:rPr>
        <w:t xml:space="preserve">” means shares of Common Stock. </w:t>
      </w:r>
    </w:p>
    <w:p>
      <w:pPr>
        <w:pStyle w:val="TextBody"/>
        <w:bidi w:val="0"/>
        <w:spacing w:before="240" w:after="0"/>
        <w:jc w:val="left"/>
        <w:rPr>
          <w:rFonts w:ascii="Times New Roman" w:hAnsi="Times New Roman"/>
          <w:sz w:val="20"/>
        </w:rPr>
      </w:pPr>
      <w:r>
        <w:rPr>
          <w:rFonts w:ascii="Times New Roman" w:hAnsi="Times New Roman"/>
          <w:b/>
          <w:sz w:val="20"/>
        </w:rPr>
        <w:t>2.41</w:t>
      </w:r>
      <w:r>
        <w:rPr>
          <w:rFonts w:ascii="Times New Roman" w:hAnsi="Times New Roman"/>
          <w:sz w:val="20"/>
        </w:rPr>
        <w:t xml:space="preserve"> “</w:t>
      </w:r>
      <w:r>
        <w:rPr>
          <w:rFonts w:ascii="Times New Roman" w:hAnsi="Times New Roman"/>
          <w:b/>
          <w:sz w:val="20"/>
          <w:u w:val="single"/>
        </w:rPr>
        <w:t>Stock Appreciation Right</w:t>
      </w:r>
      <w:r>
        <w:rPr>
          <w:rFonts w:ascii="Times New Roman" w:hAnsi="Times New Roman"/>
          <w:sz w:val="20"/>
        </w:rPr>
        <w:t xml:space="preserve">” means a stock appreciation right granted under Article VI of this Plan. </w:t>
      </w:r>
    </w:p>
    <w:p>
      <w:pPr>
        <w:pStyle w:val="TextBody"/>
        <w:bidi w:val="0"/>
        <w:spacing w:before="240" w:after="0"/>
        <w:jc w:val="left"/>
        <w:rPr>
          <w:rFonts w:ascii="Times New Roman" w:hAnsi="Times New Roman"/>
          <w:sz w:val="20"/>
        </w:rPr>
      </w:pPr>
      <w:r>
        <w:rPr>
          <w:rFonts w:ascii="Times New Roman" w:hAnsi="Times New Roman"/>
          <w:b/>
          <w:sz w:val="20"/>
        </w:rPr>
        <w:t>2.42</w:t>
      </w:r>
      <w:r>
        <w:rPr>
          <w:rFonts w:ascii="Times New Roman" w:hAnsi="Times New Roman"/>
          <w:sz w:val="20"/>
        </w:rPr>
        <w:t xml:space="preserve"> “</w:t>
      </w:r>
      <w:r>
        <w:rPr>
          <w:rFonts w:ascii="Times New Roman" w:hAnsi="Times New Roman"/>
          <w:b/>
          <w:sz w:val="20"/>
          <w:u w:val="single"/>
        </w:rPr>
        <w:t>Stock Option</w:t>
      </w:r>
      <w:r>
        <w:rPr>
          <w:rFonts w:ascii="Times New Roman" w:hAnsi="Times New Roman"/>
          <w:sz w:val="20"/>
        </w:rPr>
        <w:t>” or “</w:t>
      </w:r>
      <w:r>
        <w:rPr>
          <w:rFonts w:ascii="Times New Roman" w:hAnsi="Times New Roman"/>
          <w:b/>
          <w:sz w:val="20"/>
          <w:u w:val="single"/>
        </w:rPr>
        <w:t>Option</w:t>
      </w:r>
      <w:r>
        <w:rPr>
          <w:rFonts w:ascii="Times New Roman" w:hAnsi="Times New Roman"/>
          <w:sz w:val="20"/>
        </w:rPr>
        <w:t xml:space="preserve">” means any option to purchase Shares granted pursuant to Article VI of this Plan. </w:t>
      </w:r>
    </w:p>
    <w:p>
      <w:pPr>
        <w:pStyle w:val="TextBody"/>
        <w:bidi w:val="0"/>
        <w:spacing w:before="240" w:after="0"/>
        <w:jc w:val="left"/>
        <w:rPr>
          <w:rFonts w:ascii="Times New Roman" w:hAnsi="Times New Roman"/>
          <w:sz w:val="20"/>
        </w:rPr>
      </w:pPr>
      <w:r>
        <w:rPr>
          <w:rFonts w:ascii="Times New Roman" w:hAnsi="Times New Roman"/>
          <w:b/>
          <w:sz w:val="20"/>
        </w:rPr>
        <w:t>2.43</w:t>
      </w:r>
      <w:r>
        <w:rPr>
          <w:rFonts w:ascii="Times New Roman" w:hAnsi="Times New Roman"/>
          <w:sz w:val="20"/>
        </w:rPr>
        <w:t xml:space="preserve"> “</w:t>
      </w:r>
      <w:r>
        <w:rPr>
          <w:rFonts w:ascii="Times New Roman" w:hAnsi="Times New Roman"/>
          <w:b/>
          <w:sz w:val="20"/>
          <w:u w:val="single"/>
        </w:rPr>
        <w:t>Subsidiary</w:t>
      </w:r>
      <w:r>
        <w:rPr>
          <w:rFonts w:ascii="Times New Roman" w:hAnsi="Times New Roman"/>
          <w:sz w:val="20"/>
        </w:rPr>
        <w:t xml:space="preserve">” means any subsidiary corporation of the Company within the meaning of Section 424(f)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2.44</w:t>
      </w:r>
      <w:r>
        <w:rPr>
          <w:rFonts w:ascii="Times New Roman" w:hAnsi="Times New Roman"/>
          <w:sz w:val="20"/>
        </w:rPr>
        <w:t xml:space="preserve"> “</w:t>
      </w:r>
      <w:r>
        <w:rPr>
          <w:rFonts w:ascii="Times New Roman" w:hAnsi="Times New Roman"/>
          <w:b/>
          <w:sz w:val="20"/>
          <w:u w:val="single"/>
        </w:rPr>
        <w:t>Ten Percent Stockholder</w:t>
      </w:r>
      <w:r>
        <w:rPr>
          <w:rFonts w:ascii="Times New Roman" w:hAnsi="Times New Roman"/>
          <w:sz w:val="20"/>
        </w:rPr>
        <w:t xml:space="preserve">” means a Person owning stock representing more than ten percent (10%) of the total combined voting power of all classes of stock of the Company, its Parent or its Subsidiaries. </w:t>
      </w:r>
    </w:p>
    <w:p>
      <w:pPr>
        <w:pStyle w:val="TextBody"/>
        <w:bidi w:val="0"/>
        <w:spacing w:before="240" w:after="0"/>
        <w:jc w:val="left"/>
        <w:rPr>
          <w:rFonts w:ascii="Times New Roman" w:hAnsi="Times New Roman"/>
          <w:sz w:val="20"/>
        </w:rPr>
      </w:pPr>
      <w:r>
        <w:rPr>
          <w:rFonts w:ascii="Times New Roman" w:hAnsi="Times New Roman"/>
          <w:b/>
          <w:sz w:val="20"/>
        </w:rPr>
        <w:t>2.45</w:t>
      </w:r>
      <w:r>
        <w:rPr>
          <w:rFonts w:ascii="Times New Roman" w:hAnsi="Times New Roman"/>
          <w:sz w:val="20"/>
        </w:rPr>
        <w:t xml:space="preserve"> “</w:t>
      </w:r>
      <w:r>
        <w:rPr>
          <w:rFonts w:ascii="Times New Roman" w:hAnsi="Times New Roman"/>
          <w:b/>
          <w:sz w:val="20"/>
          <w:u w:val="single"/>
        </w:rPr>
        <w:t>Termination of Service</w:t>
      </w:r>
      <w:r>
        <w:rPr>
          <w:rFonts w:ascii="Times New Roman" w:hAnsi="Times New Roman"/>
          <w:sz w:val="20"/>
        </w:rPr>
        <w:t xml:space="preserve">” means the termination of the applicable Participant’s employment with, or performance of services for, the 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Authority of the Committee</w:t>
      </w:r>
      <w:r>
        <w:rPr>
          <w:rFonts w:ascii="Times New Roman" w:hAnsi="Times New Roman"/>
          <w:sz w:val="20"/>
        </w:rPr>
        <w:t xml:space="preserve">. This Plan shall be administered by the Committee. Subject to the terms of this Plan and Applicable Law, the Committee shall have full authority to grant Awards to Eligible Individuals under this Plan. In particular, the Committee shall have the authority to: </w:t>
      </w:r>
    </w:p>
    <w:p>
      <w:pPr>
        <w:pStyle w:val="TextBody"/>
        <w:bidi w:val="0"/>
        <w:spacing w:before="240" w:after="0"/>
        <w:jc w:val="left"/>
        <w:rPr>
          <w:rFonts w:ascii="Times New Roman" w:hAnsi="Times New Roman"/>
          <w:sz w:val="20"/>
        </w:rPr>
      </w:pPr>
      <w:r>
        <w:rPr>
          <w:rFonts w:ascii="Times New Roman" w:hAnsi="Times New Roman"/>
          <w:sz w:val="20"/>
        </w:rPr>
        <w:t xml:space="preserve">(a) determine whether and to what extent Awards, or any combination thereof, are to be granted hereunder to one or more Eligible Individuals; </w:t>
      </w:r>
    </w:p>
    <w:p>
      <w:pPr>
        <w:pStyle w:val="TextBody"/>
        <w:bidi w:val="0"/>
        <w:spacing w:before="240" w:after="0"/>
        <w:jc w:val="left"/>
        <w:rPr>
          <w:rFonts w:ascii="Times New Roman" w:hAnsi="Times New Roman"/>
          <w:sz w:val="20"/>
        </w:rPr>
      </w:pPr>
      <w:r>
        <w:rPr>
          <w:rFonts w:ascii="Times New Roman" w:hAnsi="Times New Roman"/>
          <w:sz w:val="20"/>
        </w:rPr>
        <w:t xml:space="preserve">(b) determine the number of Shares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(c) determine the terms and conditions, not inconsistent with the terms of this Plan, of any Award granted hereunder (including, but not limited to, the exercise or purchase price (if any), any restriction or limitation, any vesting schedule or acceleration thereof, or any forfeiture restrictions or waiver thereof, regarding any Award and the Shares, if any, relating thereto, based on such factors, if any, as the Committee shall determine,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determine the amount of cash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(e) determine whether, to what extent, and under what circumstances grants of Options and other Awards under this Plan are to operate on a tandem basis and/or in conjunction with or apart from other awards made by the Company outside of this Plan; </w:t>
      </w:r>
    </w:p>
    <w:p>
      <w:pPr>
        <w:pStyle w:val="TextBody"/>
        <w:bidi w:val="0"/>
        <w:spacing w:before="240" w:after="0"/>
        <w:jc w:val="left"/>
        <w:rPr>
          <w:rFonts w:ascii="Times New Roman" w:hAnsi="Times New Roman"/>
          <w:sz w:val="20"/>
        </w:rPr>
      </w:pPr>
      <w:r>
        <w:rPr>
          <w:rFonts w:ascii="Times New Roman" w:hAnsi="Times New Roman"/>
          <w:sz w:val="20"/>
        </w:rPr>
        <w:t xml:space="preserve">(f) determine whether and under what circumstances an Award may be settled in cash, Shares, other property, or a combination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determine whether, to what extent and under what circumstances cash, Shares, or other property and other amounts payable with respect to an Award under this Plan shall be deferred either automatically or at the election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(h) modify, waive, amend, or adjust the terms and conditions of any Award, at any time or from time to time, including but not limited to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(i) determine whether a Stock Option is an Incentive Stock Option or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(j) 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w:t>
      </w:r>
    </w:p>
    <w:p>
      <w:pPr>
        <w:pStyle w:val="TextBody"/>
        <w:bidi w:val="0"/>
        <w:spacing w:before="240" w:after="0"/>
        <w:jc w:val="left"/>
        <w:rPr>
          <w:rFonts w:ascii="Times New Roman" w:hAnsi="Times New Roman"/>
          <w:sz w:val="20"/>
        </w:rPr>
      </w:pPr>
      <w:r>
        <w:rPr>
          <w:rFonts w:ascii="Times New Roman" w:hAnsi="Times New Roman"/>
          <w:sz w:val="20"/>
        </w:rPr>
        <w:t xml:space="preserve">(k) modify, extend, or renew an Award, subject to Article XI and Section 6.8(g) of this Plan; and </w:t>
      </w:r>
    </w:p>
    <w:p>
      <w:pPr>
        <w:pStyle w:val="TextBody"/>
        <w:bidi w:val="0"/>
        <w:spacing w:before="240" w:after="0"/>
        <w:jc w:val="left"/>
        <w:rPr>
          <w:rFonts w:ascii="Times New Roman" w:hAnsi="Times New Roman"/>
          <w:sz w:val="20"/>
        </w:rPr>
      </w:pPr>
      <w:r>
        <w:rPr>
          <w:rFonts w:ascii="Times New Roman" w:hAnsi="Times New Roman"/>
          <w:sz w:val="20"/>
        </w:rPr>
        <w:t xml:space="preserve">(l) 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beneficiary may exercise rights under the Award, if applicable.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Guidelines</w:t>
      </w:r>
      <w:r>
        <w:rPr>
          <w:rFonts w:ascii="Times New Roman" w:hAnsi="Times New Roman"/>
          <w:sz w:val="20"/>
        </w:rPr>
        <w:t xml:space="preserve">. Subject to Article XI of this Plan, the Committee shall have the authority to adopt, alter, and repeal such administrative rules, guidelines, and practices governing this Plan and perform all acts, including the delegation of its responsibilities (to the extent permitted by Applicable Law and applicable stock exchange rules), as it shall, from time to time, deem advisable; to construe and interpret the terms and provisions of this Plan and any Award issued under this Plan (and any agreements or sub-plans relating thereto); and to otherwise supervise the administration of this Plan. The Committee may correct any defect, supply any omission, or reconcile any inconsistency in this Plan or in any agreement relating thereto in the manner and to the extent it shall deem necessary to effectuate the purpose and intent of this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Decisions Final</w:t>
      </w:r>
      <w:r>
        <w:rPr>
          <w:rFonts w:ascii="Times New Roman" w:hAnsi="Times New Roman"/>
          <w:sz w:val="20"/>
        </w:rPr>
        <w:t xml:space="preserve">.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Designation of Consultants/Liability; Delegation of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Committee may employ such legal counsel, consultants, and agents as it may deem desirable for the administration of this Plan and may rely upon any opinion received from any such counsel or consultant and any computation received from any such consultant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Expenses incurred by the Committee or the Board in the engagement of any such counsel, consultant, or agent shall be paid by the Company. The Committee, its members, and any person designated pursuant to this Section 3.4 shall not be liable for any action or determination made in good faith with respect to this Plan. To the maximum extent permitted by Applicable Law, no officer of the Company or member or former member of the Committee or of the Board shall be liable for any action or determination made in good faith with respect to this Plan or any Award granted under it. </w:t>
      </w:r>
    </w:p>
    <w:p>
      <w:pPr>
        <w:pStyle w:val="TextBody"/>
        <w:bidi w:val="0"/>
        <w:spacing w:before="240" w:after="0"/>
        <w:jc w:val="left"/>
        <w:rPr>
          <w:rFonts w:ascii="Times New Roman" w:hAnsi="Times New Roman"/>
          <w:sz w:val="20"/>
        </w:rPr>
      </w:pPr>
      <w:r>
        <w:rPr>
          <w:rFonts w:ascii="Times New Roman" w:hAnsi="Times New Roman"/>
          <w:sz w:val="20"/>
        </w:rPr>
        <w:t xml:space="preserve">(b) The Committee may delegate any or all of its powers and duties under this Plan to a subcommittee of directors or to any officer of the Company, including the power to perform administrative functions (including executing agreements or other documents on behalf of the Committee) and grant Awards; </w:t>
      </w:r>
      <w:r>
        <w:rPr>
          <w:rFonts w:ascii="Times New Roman" w:hAnsi="Times New Roman"/>
          <w:sz w:val="20"/>
          <w:u w:val="single"/>
        </w:rPr>
        <w:t>provided</w:t>
      </w:r>
      <w:r>
        <w:rPr>
          <w:rFonts w:ascii="Times New Roman" w:hAnsi="Times New Roman"/>
          <w:sz w:val="20"/>
        </w:rPr>
        <w:t xml:space="preserve">, that such delegation does not (i) violate Applicable Law, or (ii) result in the loss of an exemption under Rule 16b-3(d)(1) for Awards granted to Participants subject to Section 16 of the Exchange Act in respect of the Company. Upon any such delegation, all references in this Plan to the “Committee,” shall be deemed to include any subcommittee or officer of the Company to whom such powers have been delegated by the Committee. Any such delegation shall not limit the right of such subcommittee members or such an officer to receive Awards;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designate employees or professional advisors who are not executive officers of the Company or members of the Board to assist in administering this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individuals may not be delegated the authority to grant or modify any Awards that will, or may, be settled in Shares.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To the maximum extent permitted by Applicable Law and to the extent not covered by insurance directly insuring such person, each current and former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this Plan, except to the extent arising out of such officer’s, employee’s, member’s, or former member’s own fraud or bad faith. Such indemnification shall be in addition to any right of indemnification that the current or former employee, officer or member may have under Applicable Law or under the by-laws of the Company or any of its Affiliates. Notwithstanding anything else herein, this indemnification will not apply to the actions or determinations made by an individual with regard to Awards granted to such individual under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SHARE LIMITATION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Shares</w:t>
      </w:r>
      <w:r>
        <w:rPr>
          <w:rFonts w:ascii="Times New Roman" w:hAnsi="Times New Roman"/>
          <w:sz w:val="20"/>
        </w:rPr>
        <w:t xml:space="preserve">. The aggregate number of Shares that may be issued pursuant to this Plan shall not exceed 12,123,039 Shares (subject to any increase or decrease pursuant to this Article IV), which may be either authorized and unissued Shares or Shares held in or acquired for the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or both. The number of Shares that may be issued pursuant to this Plan shall be subject to an annual increase on January 1 of each calendar year beginning in 2027, and ending on and including January 1, 2036, equal to the lesser of (a) 5% of the aggregate number of shares of Common Stock and Class B common stock outstanding on December 31 of the immediately preceding calendar year and (b) such smaller number of Shares as is determined by the Board. The aggregate number of Shares that may be issued or used with respect to any Incentive Stock Option shall not exceed 12,123,039 Shares (subject to any increase or decrease pursuant to Section 4.3). Any Award under this Plan settled in cash shall not be counted against the foregoing maximum share limitations. Notwithstanding anything to the contrary contained herein, Shares subject to an Award under this Plan shall again be made available for issuance or delivery under this Plan if such Shares are (i) Shares delivered, withheld or surrendered in payment of the exercise or purchase price of an Award, (ii) Shares delivered, withheld, or surrendered to satisfy any tax withholding obligation or (iii) Shares subject to a stock-settled Award that expires or is canceled, forfeited, or terminated without issuance of the full number of Shares to which the Award related.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Substitute Awards</w:t>
      </w:r>
      <w:r>
        <w:rPr>
          <w:rFonts w:ascii="Times New Roman" w:hAnsi="Times New Roman"/>
          <w:sz w:val="20"/>
        </w:rPr>
        <w:t>.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w:t>
      </w:r>
      <w:r>
        <w:rPr>
          <w:rFonts w:ascii="Times New Roman" w:hAnsi="Times New Roman"/>
          <w:sz w:val="20"/>
          <w:u w:val="single"/>
        </w:rPr>
        <w:t>Substitute Awards</w:t>
      </w:r>
      <w:r>
        <w:rPr>
          <w:rFonts w:ascii="Times New Roman" w:hAnsi="Times New Roman"/>
          <w:sz w:val="20"/>
        </w:rPr>
        <w:t xml:space="preserve">”).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4.1 above), except that Shares acquired by exercise of substitute Incentive Stock Options will count against the maximum number of Shares that may be issued pursuant to the exercise of Incentive Stock Options under this Plan, as set forth in Section 4.1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4.1 above); provided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existence of this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provisions of Section 10.1: </w:t>
      </w:r>
    </w:p>
    <w:p>
      <w:pPr>
        <w:pStyle w:val="TextBody"/>
        <w:bidi w:val="0"/>
        <w:spacing w:before="240" w:after="0"/>
        <w:jc w:val="left"/>
        <w:rPr>
          <w:rFonts w:ascii="Times New Roman" w:hAnsi="Times New Roman"/>
          <w:sz w:val="20"/>
        </w:rPr>
      </w:pPr>
      <w:r>
        <w:rPr>
          <w:rFonts w:ascii="Times New Roman" w:hAnsi="Times New Roman"/>
          <w:sz w:val="20"/>
        </w:rPr>
        <w:t xml:space="preserve">(i) 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this Plan; provided, that the Committee in its sole discretion shall determine whether an adjustment is appropriate. </w:t>
      </w:r>
    </w:p>
    <w:p>
      <w:pPr>
        <w:pStyle w:val="TextBody"/>
        <w:bidi w:val="0"/>
        <w:spacing w:before="240" w:after="0"/>
        <w:jc w:val="left"/>
        <w:rPr>
          <w:rFonts w:ascii="Times New Roman" w:hAnsi="Times New Roman"/>
          <w:sz w:val="20"/>
        </w:rPr>
      </w:pPr>
      <w:r>
        <w:rPr>
          <w:rFonts w:ascii="Times New Roman" w:hAnsi="Times New Roman"/>
          <w:sz w:val="20"/>
        </w:rPr>
        <w:t xml:space="preserve">(ii) Excepting transactions covered by Section 4.3(b)(i), if the Company effects any merger, consolidation, statutory exchange, spin-off, reorganization, sale or transfer of all or substantially all the Company’s assets or business, or other corporate transaction or event in 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Section 10.1, (A) the aggregate number or kind of securities that thereafter may be issued under this Plan, (B) the number or kind of securities or other property (including cash) to be issued pursuant to Awards granted under this Plan (including as a result of the assumption of this Plan and the obligations hereunder by a successor entity, as applicable), or (C) the exercise or purchase price thereof, shall be appropriately adjusted by the Committee to prevent dilution or enlargement of the rights granted to, or available for, Participants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(iii) If there shall occur any change in the capital structure of the Company other than those covered by Section 4.3(b)(i) or 4.3(b)(ii), any conversion, any adjustment, or any issuance of any class of securities convertible or exercisable into, or exercisable for, any class of equity securities of the Company, then the Committee shall adjust any Award and make such other adjustments to this Plan to prevent dilution or enlargement of the rights granted to, or available for, Participants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securities offering or other similar transaction, for administrative convenience, the Committee may refuse to permit the exercise of any Award for up to sixty (60) days before or after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(v)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Any such adjustment determined by the Committee pursuant to this Section 4.3(b) shall be final, binding, and conclusive on the Company and all Participants and their respective heirs, executors, administrators, successors, and permitted assigns. Any adjustment to, or assumption or substitution of, an Award under this Section 4.3(b) shall be intended to comply with the requirements of Section 409A of the Code and Treasury Regulation §1.424-1 (and any amendments thereto), to the extent applicable. Except as expressly provided in this Section 4.3 or in the applicable Award Agreement, a Participant shall have no additional rights under this Plan by reason of any transaction or event described in this Section 4.3.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Annual Limit on Non-Employee Director Compensation</w:t>
      </w:r>
      <w:r>
        <w:rPr>
          <w:rFonts w:ascii="Times New Roman" w:hAnsi="Times New Roman"/>
          <w:sz w:val="20"/>
        </w:rPr>
        <w:t xml:space="preserve">. In each calendar year during any part of which this Plan is in effect, a Non-Employee Director may not receive Awards for such individual’s service on the Board that, taken together with any cash fees paid to such Non-Employee Director during such calendar year for such individual’s service on the Board, have a value in excess of $750,000 (calculating the value of any such Awards based on the grant date fair value of such Awards for financial reporting purposes); </w:t>
      </w:r>
      <w:r>
        <w:rPr>
          <w:rFonts w:ascii="Times New Roman" w:hAnsi="Times New Roman"/>
          <w:i/>
          <w:sz w:val="20"/>
        </w:rPr>
        <w:t>provided</w:t>
      </w:r>
      <w:r>
        <w:rPr>
          <w:rFonts w:ascii="Times New Roman" w:hAnsi="Times New Roman"/>
          <w:sz w:val="20"/>
        </w:rPr>
        <w:t xml:space="preserve">, that (a) the Committee may make exceptions to this limit, except that the Non-Employee Director receiving such additional compensation may not participate in the decision to award such compensation or in other contemporaneous decisions involving compensation for Non-Employee Directors and (b) for any calendar year in which a Non-Employee Director (i) first commences service on the Board, (ii) serves on a special committee of the Board, or (iii) serves as lead director or non-executive chair of the Board, such limit shall be increased to $1,000,000; </w:t>
      </w:r>
      <w:r>
        <w:rPr>
          <w:rFonts w:ascii="Times New Roman" w:hAnsi="Times New Roman"/>
          <w:i/>
          <w:sz w:val="20"/>
        </w:rPr>
        <w:t>provided, further</w:t>
      </w:r>
      <w:r>
        <w:rPr>
          <w:rFonts w:ascii="Times New Roman" w:hAnsi="Times New Roman"/>
          <w:sz w:val="20"/>
        </w:rPr>
        <w:t xml:space="preserve">, that the limit set forth in this Section 4.4 shall be applied without regard to Awards or other compensation, if any, provided to a Non-Employee Director during any period in which such individual was an employee of the Company or any Affiliate or was otherwise providing services to the Company or to any Affiliate other than in the capacity as a Non-Employee Director.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General Eligibility</w:t>
      </w:r>
      <w:r>
        <w:rPr>
          <w:rFonts w:ascii="Times New Roman" w:hAnsi="Times New Roman"/>
          <w:sz w:val="20"/>
        </w:rPr>
        <w:t xml:space="preserve">. All current and prospective Eligible Individuals are eligible to be granted Awards. Eligibility for the grant of Awards and actual participation in this Plan shall be determined by the Committee in its sole discretion. No Eligible Individual will automatically be granted any Award under this Plan.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Incentive Stock Options</w:t>
      </w:r>
      <w:r>
        <w:rPr>
          <w:rFonts w:ascii="Times New Roman" w:hAnsi="Times New Roman"/>
          <w:sz w:val="20"/>
        </w:rPr>
        <w:t xml:space="preserve">. Notwithstanding the foregoing, only Eligible Employees who are employees of the Company, its Parents or its Subsidiaries are eligible to be granted Incentive Stock Options under this Plan. Eligibility for the grant of an Incentive Stock Option and actual participation in this Plan shall be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General Requirement</w:t>
      </w:r>
      <w:r>
        <w:rPr>
          <w:rFonts w:ascii="Times New Roman" w:hAnsi="Times New Roman"/>
          <w:sz w:val="20"/>
        </w:rPr>
        <w:t xml:space="preserve">. The vesting and exercise of Awards granted to a prospective Eligible Individual are conditioned upon such individual actually becoming an Eligible Employee, Consultant, or Non-Employee Director,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OPTIONS; STOCK APPRECIATION RIGHTS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General</w:t>
      </w:r>
      <w:r>
        <w:rPr>
          <w:rFonts w:ascii="Times New Roman" w:hAnsi="Times New Roman"/>
          <w:sz w:val="20"/>
        </w:rPr>
        <w:t xml:space="preserve">. Stock Options or Stock Appreciation Rights may be granted alone or in addition to other Awards granted under this Plan. Each Stock Option granted under this Plan shall be of one of two types: (a) an Incentive Stock Option or (b) a Non-Qualified Stock Option. Stock Options and Stock Appreciation Rights granted under this Plan shall be evidenced by an Award Agreement and subject to the terms, conditions and limitations in this Plan, including any limitations applicable to Incentive Stock Options.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Grants</w:t>
      </w:r>
      <w:r>
        <w:rPr>
          <w:rFonts w:ascii="Times New Roman" w:hAnsi="Times New Roman"/>
          <w:sz w:val="20"/>
        </w:rPr>
        <w:t xml:space="preserve">. The Committee shall have the authority to grant to any Eligible Individual one or more Incentive Stock Options, Non-Qualified Stock Options, and/or Stock Appreciation Rights;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Incentive Stock Options may only be granted to an Eligible Employee who is an employee of the Company, its Parents or its Subsidiaries.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Exercise Price</w:t>
      </w:r>
      <w:r>
        <w:rPr>
          <w:rFonts w:ascii="Times New Roman" w:hAnsi="Times New Roman"/>
          <w:sz w:val="20"/>
        </w:rPr>
        <w:t xml:space="preserve">. The exercise price per Share subject to a Stock Option or Stock Appreciation Right shall be determined by the Committee at the time of grant, </w:t>
      </w:r>
      <w:r>
        <w:rPr>
          <w:rFonts w:ascii="Times New Roman" w:hAnsi="Times New Roman"/>
          <w:i/>
          <w:sz w:val="20"/>
        </w:rPr>
        <w:t>provided</w:t>
      </w:r>
      <w:r>
        <w:rPr>
          <w:rFonts w:ascii="Times New Roman" w:hAnsi="Times New Roman"/>
          <w:sz w:val="20"/>
        </w:rPr>
        <w:t xml:space="preserve"> that the per share exercise price of a Stock Option or Stock Appreciation Right shall not be less than 100% (or, in the case of an Incentive Stock Option granted to a Ten Percent Stockholder, 110%) of the Fair Market Value at the time of grant. Notwithstanding the foregoing, in the case of a Stock Option or Stock Appreciation Right that is a Substitute Award, the exercise price per Share for such Stock Option or Stock Appreciation Right may be less than the Fair Market Value on the date of grant; provided, that, such exercise price is determined in a manner consistent with the provisions of Section 409A of the Code and, if applicable, Section 424(a) of the Code.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Term</w:t>
      </w:r>
      <w:r>
        <w:rPr>
          <w:rFonts w:ascii="Times New Roman" w:hAnsi="Times New Roman"/>
          <w:sz w:val="20"/>
        </w:rPr>
        <w:t xml:space="preserve">. The term of each Stock Option or Stock Appreciation Right shall be fixed by the Committee, </w:t>
      </w:r>
      <w:r>
        <w:rPr>
          <w:rFonts w:ascii="Times New Roman" w:hAnsi="Times New Roman"/>
          <w:i/>
          <w:sz w:val="20"/>
        </w:rPr>
        <w:t>provided</w:t>
      </w:r>
      <w:r>
        <w:rPr>
          <w:rFonts w:ascii="Times New Roman" w:hAnsi="Times New Roman"/>
          <w:sz w:val="20"/>
        </w:rPr>
        <w:t xml:space="preserve"> that no Stock Option or Stock Appreciation Right shall be exercisable more than ten (10) years (or, in the case of an Incentive Stock Option granted to a Ten Percent Stockholder, five (5) years) after the date on which the Stock Option or Stock Appreciation Right, as applicable, is granted.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Exercisability</w:t>
      </w:r>
      <w:r>
        <w:rPr>
          <w:rFonts w:ascii="Times New Roman" w:hAnsi="Times New Roman"/>
          <w:sz w:val="20"/>
        </w:rPr>
        <w:t xml:space="preserve">. Unless otherwise provided by the Committee in accordance with the provisions of this Section 6.5, Stock Options and Stock Appreciation Rights granted under this Plan shall be exercisable at such time or times and subject to such terms and conditions as shall be determined by the Committee at the time of grant. The Committee may, but shall not be required to, provide for an acceleration of vesting and exercisability upon the occurrence of a specified event. Unless otherwise determined by the Committee, if the exercise of a Non-Qualified Stock Option or Stock Appreciation Right within the permitted time periods is prohibited because such exercise would violate the registration requirements under the Securities Act or any other Applicable Law or the rules of any securities exchange or interdealer quotation system, the Company’s insider trading policy (including any blackout periods) or a “lock-up” agreement entered into in connection with the issuance of securities by the Company, then the expiration of such Non-Qualified Stock Option or Stock Appreciation Right shall be extended until the date that is thirty (30) days after the end of the period during which the exercise of the Non-Qualified Stock Option or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Appreciation Right would be in violation of such registration requirement or other Applicable Law or rules, blackout period or lock-up agreement, as determined by the Committee; </w:t>
      </w:r>
      <w:r>
        <w:rPr>
          <w:rFonts w:ascii="Times New Roman" w:hAnsi="Times New Roman"/>
          <w:i/>
          <w:sz w:val="20"/>
        </w:rPr>
        <w:t>provided, however</w:t>
      </w:r>
      <w:r>
        <w:rPr>
          <w:rFonts w:ascii="Times New Roman" w:hAnsi="Times New Roman"/>
          <w:sz w:val="20"/>
        </w:rPr>
        <w:t xml:space="preserve">, that in no event shall any such extension result in any Non-Qualified Stock Option or Stock Appreciation Right remaining exercisable after the ten (10)-year term of the applicable Non-Qualified Stock Option or Stock Appreciation Right.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Method of Exercise</w:t>
      </w:r>
      <w:r>
        <w:rPr>
          <w:rFonts w:ascii="Times New Roman" w:hAnsi="Times New Roman"/>
          <w:sz w:val="20"/>
        </w:rPr>
        <w:t xml:space="preserve">. Subject to any applicable waiting period or exercisability provisions under Section 6.5, to the extent vested, Stock Options and Stock Appreciation Rights may be exercised in whole or in part at any time during the term of the applicable Stock Option or Stock Appreciation Right, by giving written notice of exercise (which may be electronic) to the Company specifying the number of Stock Options or Stock Appreciation Rights, as applicable, being exercised.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for the 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of payment, or through a simultaneous sale through a broker of Shares acquired on exercise, all as permitted by Applicable Law. No Shares shall be issued until payment therefor, as provided herein, has been made or provided for. Upon the exercise of a Stock Appreciation Right a Participant shall be entitled to receive, for each right exercised, up to, but no more than, an amount in cash and/or Shares (as chosen by the Committee in its sole discretion) equal in value to the excess of the Fair Market Value of one (1) Share on the date that the right is exercised over the Fair Market Value of one (1) Share on the date that the right was awarded to the Participant.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Non-Transferability</w:t>
      </w:r>
      <w:r>
        <w:rPr>
          <w:rFonts w:ascii="Times New Roman" w:hAnsi="Times New Roman"/>
          <w:sz w:val="20"/>
        </w:rPr>
        <w:t xml:space="preserve">. No Stock Option or Stock Appreciation Right shall be transferable by the Participant other than by will or by the laws of descent and distribution, and all Stock Options and Stock Appreciation Rights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6.7 is transferable to a Family Member of the Participant in whole or in part and in such circumstances, and under such conditions, as specified by the Committee. A Non-Qualified Stock Option that is transferred to a Family Member pursuant to the preceding sentence (a) may not be subsequently transferred other than by will or by the laws of descent and distribution and (b) remains subject to the terms of this Plan and the applicable Award Agreement. Any Shares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Unless otherwise determined by the Committee at grant or, if no rights of the Participant are reduced, thereafter, subject to the provisions of the applicable Award Agreement and this Plan, upon a Participant’s Termination of Service for any reason, Stock Options and Stock Appreciation Rights may remain exercisable following a Participant’s Termination of Service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by Death or Disability</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and Stock Appreciation Rights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(1) year from the date of such Termination of Service, but in no event beyond the expiration of the stated term of such Stock Options and Stock Appreciation Rights; </w:t>
      </w:r>
      <w:r>
        <w:rPr>
          <w:rFonts w:ascii="Times New Roman" w:hAnsi="Times New Roman"/>
          <w:i/>
          <w:sz w:val="20"/>
        </w:rPr>
        <w:t>provided, however</w:t>
      </w:r>
      <w:r>
        <w:rPr>
          <w:rFonts w:ascii="Times New Roman" w:hAnsi="Times New Roman"/>
          <w:sz w:val="20"/>
        </w:rPr>
        <w:t xml:space="preserve">, that, in the event of a Participant’s Termination of Service by reason of Disability, if the Participant dies within such exercise period, all unexercised Stock Options and Stock Appreciation Rights held by such Participant shall thereafter be exercisable, to the extent to which they were exercisable at the time of death, for a period of one (1) year from the date of such death, but in no event beyond the expiration of the stated term of such Stock Options and/or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Involuntary Termination Without Cause</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all Stock Options and Stock Appreciation Rights that are held by such Participant that are vested and exercisable at the time of the Participant’s Termination of Service may be exercised by the Participant at any time within a period of ninety (90) days from the date of such Termination of Service, but in no event beyond the expiration of the stated term of such Stock Options or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Voluntary Resignation</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Section 6.8(d) hereof), all Stock Options and Stock Appreciation Rights that are held by such Participant that are vested and exercisable at the time of the Participant’s Termination of Service may be exercised by the Participant at any time within a period of thirty (30) days from the date of such Termination of Service, but in no event beyond the expiration of the stated term of such Stock Options or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for Cause</w:t>
      </w:r>
      <w:r>
        <w:rPr>
          <w:rFonts w:ascii="Times New Roman" w:hAnsi="Times New Roman"/>
          <w:sz w:val="20"/>
        </w:rPr>
        <w:t xml:space="preserve">. Unless otherwise provided in the applicable Award Agreement or determined by the Committee at the time of grant, or if no rights of the Participant are reduced, thereafter, if a Participant’s Termination of Service (i) is for Cause or (ii) is a voluntary Termination of Service (as provided in Section 6.8(c)) after the occurrence of an event that would be grounds for a Termination of Service for Cause, all Stock Options and Stock Appreciation Rights, whether vested or not vested, that are held by such Participant shall thereupon immediately terminate and expire as of the date of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Unvested Stock Options and Stock Appreciation Rights.</w:t>
      </w:r>
      <w:r>
        <w:rPr>
          <w:rFonts w:ascii="Times New Roman" w:hAnsi="Times New Roman"/>
          <w:sz w:val="20"/>
        </w:rPr>
        <w:t xml:space="preserve"> Unless otherwise provided in the applicable Award Agreement or determined by the Committee at the time of grant or, if no rights of the Participant are reduced, thereafter, Stock Options and Stock Appreciation Rights that are not vested as of the date of a Participant’s Termination of Service for any reason shall terminate and expire as of the date of such Termination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Incentive Stock Option Limitations</w:t>
      </w:r>
      <w:r>
        <w:rPr>
          <w:rFonts w:ascii="Times New Roman" w:hAnsi="Times New Roman"/>
          <w:sz w:val="20"/>
        </w:rPr>
        <w:t xml:space="preserve">. To the extent that the aggregate Fair Market Value (determined as of the time of grant) of the Shares with respect to which Incentive Stock Options are exercisable for the first time by an Eligible Employee during any calendar year under this Plan and/or any other stock option plan of the Company, any Parent or any Subsidiary exceeds $100,000, such Options shall be treated as Non-Qualified Stock Options. In addition, if an Eligible Employee does not remain employed by the Company, any Parent or any Subsidiary at all times from the time an Incentive Stock Option is granted until three (3)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the Committee may amend this Plan accordingly, without the necessity of obtaining the approval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Modification, Extension and Renewal of Stock Options</w:t>
      </w:r>
      <w:r>
        <w:rPr>
          <w:rFonts w:ascii="Times New Roman" w:hAnsi="Times New Roman"/>
          <w:sz w:val="20"/>
        </w:rPr>
        <w:t xml:space="preserve">. The Committee may (i) modify, extend, or renew outstanding Stock Options granted under this Plan (provided that the rights of a Participant are not reduced without such Participant’s consent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Automatic Exercise</w:t>
      </w:r>
      <w:r>
        <w:rPr>
          <w:rFonts w:ascii="Times New Roman" w:hAnsi="Times New Roman"/>
          <w:sz w:val="20"/>
        </w:rPr>
        <w:t xml:space="preserve">. The Committee may include a provision in an Award Agreement providing for the automatic exercise of a Non-Qualified Stock Option or Stock Appreciation Right on a cashless basis on the last day of the term of such Option or Stock Appreciation Right if the Participant has failed to exercise the Non-Qualified Stock Option or Stock Appreciation Right as of such date, with respect to which the Fair Market Value of the Shares underlying the Non-Qualified Stock Option or Stock Appreciation Right exceeds the exercise price of such Non-Qualified Stock Option or Stock Appreciation Right on the date of expiration of such Option or Stock Appreciation Right, subject to Section 13.4.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Dividends</w:t>
      </w:r>
      <w:r>
        <w:rPr>
          <w:rFonts w:ascii="Times New Roman" w:hAnsi="Times New Roman"/>
          <w:sz w:val="20"/>
        </w:rPr>
        <w:t xml:space="preserve">. No dividends or Dividend Equivalent Rights shall be granted with respect to Stock Options or Stock Appreciation Rights.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Other Terms and Conditions</w:t>
      </w:r>
      <w:r>
        <w:rPr>
          <w:rFonts w:ascii="Times New Roman" w:hAnsi="Times New Roman"/>
          <w:sz w:val="20"/>
        </w:rPr>
        <w:t xml:space="preserve">. As the Committee shall deem appropriate, Stock Options and Stock Appreciation Rights may be subject to additional terms and conditions or other provisions, which shall not be inconsistent with any of the terms of this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RESTRICTED STOCK UNITS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Awards of Restricted Stock and Restricted Stock Units</w:t>
      </w:r>
      <w:r>
        <w:rPr>
          <w:rFonts w:ascii="Times New Roman" w:hAnsi="Times New Roman"/>
          <w:sz w:val="20"/>
        </w:rPr>
        <w:t xml:space="preserve">. Shares of Restricted Stock and Restricted Stock Units may be granted alone or in addition to other Awards granted under this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7.2), the time or times within which such Awards may be subject to forfeiture, the vesting schedule and rights to acceleration thereof, and all other terms and conditions of the Awards. The Committee shall determine and set forth in the Award Agreement the terms and conditions for each Award of Restricted Stock and Restricted Stock Units, subject to the conditions and limitations contained in this Plan, including any vesting or forfeiture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condition the grant or vesting of Restricted Stock and Restricted Stock Units upon the attainment of specified Performance Goals or such other factor as the Committee may determine in its sole discretion.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Awards and Certificates</w:t>
      </w:r>
      <w:r>
        <w:rPr>
          <w:rFonts w:ascii="Times New Roman" w:hAnsi="Times New Roman"/>
          <w:sz w:val="20"/>
        </w:rPr>
        <w:t xml:space="preserve">. Restricted Stock and Restricted Stock Units granted under this Plan shall be evidenced by an Award Agreement and subject to the following terms and conditions and shall be in such form and contain such additional terms and conditions not inconsistent with the terms of this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Purchase Price</w:t>
      </w:r>
      <w:r>
        <w:rPr>
          <w:rFonts w:ascii="Times New Roman" w:hAnsi="Times New Roman"/>
          <w:sz w:val="20"/>
        </w:rPr>
        <w:t xml:space="preserve">. The purchase price of Restricted Stock shall be fixed by the Committee. The purchase price for shares of Restricted Stock may be zero to the extent permitted by Applicable Law, and, to the extent not so permitted, such purchase price may not be less than par value.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Legend</w:t>
      </w:r>
      <w:r>
        <w:rPr>
          <w:rFonts w:ascii="Times New Roman" w:hAnsi="Times New Roman"/>
          <w:sz w:val="20"/>
        </w:rPr>
        <w:t xml:space="preserve">. Each Participant receiving Restricted Stock shall be issued a stock certificate in respect of such shares of Restricted Stock, unless the Committee elects to use another system, such as book entries by the Company’s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Custody</w:t>
      </w:r>
      <w:r>
        <w:rPr>
          <w:rFonts w:ascii="Times New Roman" w:hAnsi="Times New Roman"/>
          <w:sz w:val="20"/>
        </w:rPr>
        <w:t xml:space="preserve">.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Award of Restricted Stock in the event that such Award is forfeited in whole or part.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Rights as a Stockholder</w:t>
      </w:r>
      <w:r>
        <w:rPr>
          <w:rFonts w:ascii="Times New Roman" w:hAnsi="Times New Roman"/>
          <w:sz w:val="20"/>
        </w:rPr>
        <w:t xml:space="preserve">. Except as provided in Section 7.3(a) and this Section 7.2(a)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Times New Roman" w:hAnsi="Times New Roman"/>
          <w:i/>
          <w:sz w:val="20"/>
        </w:rPr>
        <w:t>provided</w:t>
      </w:r>
      <w:r>
        <w:rPr>
          <w:rFonts w:ascii="Times New Roman" w:hAnsi="Times New Roman"/>
          <w:sz w:val="20"/>
        </w:rPr>
        <w:t xml:space="preserve"> that the Award Agreement shall specify on what terms and conditions the applicable Participant shall be entitled to dividends payable on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Lapse of Restrictions</w:t>
      </w:r>
      <w:r>
        <w:rPr>
          <w:rFonts w:ascii="Times New Roman" w:hAnsi="Times New Roman"/>
          <w:sz w:val="20"/>
        </w:rPr>
        <w:t xml:space="preserve">. If and when the Restriction Period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Settlement</w:t>
      </w:r>
      <w:r>
        <w:rPr>
          <w:rFonts w:ascii="Times New Roman" w:hAnsi="Times New Roman"/>
          <w:sz w:val="20"/>
        </w:rPr>
        <w:t xml:space="preserve">.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Rights as a Stockholder</w:t>
      </w:r>
      <w:r>
        <w:rPr>
          <w:rFonts w:ascii="Times New Roman" w:hAnsi="Times New Roman"/>
          <w:sz w:val="20"/>
        </w:rPr>
        <w:t xml:space="preserve">. A Participant will have no rights of a stockholder with respect to Shares subject to any Restricted Stock Unit unless and until Shares are delivered in settlement of the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Dividend Equivalent Rights</w:t>
      </w:r>
      <w:r>
        <w:rPr>
          <w:rFonts w:ascii="Times New Roman" w:hAnsi="Times New Roman"/>
          <w:sz w:val="20"/>
        </w:rPr>
        <w:t xml:space="preserve">. If the Committee so provides, a grant of Restricted Stock Units may provide a Participant with the right to receive Dividend Equivalent Rights. Dividend Equivalent Rights may be paid currently or credited to an account for the Participant, settled in cash or Shares, and subject to the same restrictions on transferability and forfeitability as the Restricted Stock Units with respect to which the Dividend Equivalent Rights are granted and subject to other terms and conditions as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Restrictions and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Participant shall not be permitted to transfer shares of Restricted Stock awarded under this Plan or vest in Restricted Stock Units during the period or periods set by the Committee (the “</w:t>
      </w:r>
      <w:r>
        <w:rPr>
          <w:rFonts w:ascii="Times New Roman" w:hAnsi="Times New Roman"/>
          <w:sz w:val="20"/>
          <w:u w:val="single"/>
        </w:rPr>
        <w:t>Restriction Period</w:t>
      </w:r>
      <w:r>
        <w:rPr>
          <w:rFonts w:ascii="Times New Roman" w:hAnsi="Times New Roman"/>
          <w:sz w:val="20"/>
        </w:rPr>
        <w:t xml:space="preserve">”)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Section 7.3(a)(i), and/or such other factors or criteria as the Committee may determine in its sole discretion, the Committee may condition the grant or provide for the lapse of such restrictions in installments in whole or in part, or may accelerate the vesting of all or any part of any Award of Restricted Stock or Restricted Stock Units and/or waive the deferral limitations for all or any part of any Award of Restricted Stock or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PERFORMANCE AWARDS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grant a Performance Award to a Participant payable upon the attainment of specific Performance Goals either alone or in addition to other Awards granted under this Plan.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OTHER STOCK-BASED AND CASH AWARDS </w:t>
      </w:r>
    </w:p>
    <w:p>
      <w:pPr>
        <w:pStyle w:val="TextBody"/>
        <w:bidi w:val="0"/>
        <w:spacing w:before="24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Other Stock-Based Awards</w:t>
      </w:r>
      <w:r>
        <w:rPr>
          <w:rFonts w:ascii="Times New Roman" w:hAnsi="Times New Roman"/>
          <w:sz w:val="20"/>
        </w:rPr>
        <w:t xml:space="preserve">. The Committee is authorized to grant to Eligible Individuals Other Stock-Based Awards that are payable in, 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the book value of Shares. Other Stock-Based Awards may be granted either alone or in addition to or in tandem with other Awards granted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this Plan, the Committee shall have authority to determine the Eligible Individuals, to whom, and the time or times at which, such Other Stock-Based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Terms and Conditions</w:t>
      </w:r>
      <w:r>
        <w:rPr>
          <w:rFonts w:ascii="Times New Roman" w:hAnsi="Times New Roman"/>
          <w:sz w:val="20"/>
        </w:rPr>
        <w:t xml:space="preserve">. Other Stock-Based Awards made pursuant to this Article IX shall be evidenced by an Award Agreement and subject to the following terms and conditions and shall be in such form and contain such additional terms and conditions not inconsistent with the terms of this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Non-Transferability</w:t>
      </w:r>
      <w:r>
        <w:rPr>
          <w:rFonts w:ascii="Times New Roman" w:hAnsi="Times New Roman"/>
          <w:sz w:val="20"/>
        </w:rPr>
        <w:t xml:space="preserve">. Subject to the applicable provisions of the Award Agreement and this Plan, Shares subject to Other Stock-Based Awards may not be transferred prior to the date on which the Shares are issued or, if later, the date on which any applicable restriction, performance, or deferral period lapses.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Dividends</w:t>
      </w:r>
      <w:r>
        <w:rPr>
          <w:rFonts w:ascii="Times New Roman" w:hAnsi="Times New Roman"/>
          <w:sz w:val="20"/>
        </w:rPr>
        <w:t xml:space="preserve">. Unless otherwise determined by the Committee at the time of the grant of an Other Stock-Based Award, subject to the provisions of the Award Agreement and this Plan, the recipient of an Other Stock-Based Award shall not be entitled to receive, currently or on a deferred basis, dividends or Dividend Equivalent Rights in respect of the number of Shares covered by the Other Stock-Based Award.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Vesting</w:t>
      </w:r>
      <w:r>
        <w:rPr>
          <w:rFonts w:ascii="Times New Roman" w:hAnsi="Times New Roman"/>
          <w:sz w:val="20"/>
        </w:rPr>
        <w:t xml:space="preserve">. Any Other Stock-Based Award and any Shares covered by any such Other Stock-Based Award shall vest or be forfeited to the extent so provided in the Award Agreement,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Price</w:t>
      </w:r>
      <w:r>
        <w:rPr>
          <w:rFonts w:ascii="Times New Roman" w:hAnsi="Times New Roman"/>
          <w:sz w:val="20"/>
        </w:rPr>
        <w:t xml:space="preserve">. Shares under this Article IX may be issued for no cash consideration. Shares purchased pursuant to a purchase right awarded pursuant to an Other Stock-Based Award shall be priced,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Cash Awards</w:t>
      </w:r>
      <w:r>
        <w:rPr>
          <w:rFonts w:ascii="Times New Roman" w:hAnsi="Times New Roman"/>
          <w:sz w:val="20"/>
        </w:rPr>
        <w:t xml:space="preserve">. The Committee may from time to time grant Cash Awards to Eligible Individuals in such amounts, on such terms and 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CHANGE IN CONTROL PROVISIONS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Benefits</w:t>
      </w:r>
      <w:r>
        <w:rPr>
          <w:rFonts w:ascii="Times New Roman" w:hAnsi="Times New Roman"/>
          <w:sz w:val="20"/>
        </w:rPr>
        <w:t xml:space="preserve">. In the event of a Change in Control of the Company, and except as otherwise provided by the Committee in an Award Agreement or any applicable employment agreement, offer letter, consulting agreement, change in control agreement, or similar agreement in effect between the Company or an Affiliate and the Participant, a Participant’s unvested Awards shall not vest automatically and a Participant’s Awards shall be treated in accordance with one or more of the following methods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 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Times New Roman" w:hAnsi="Times New Roman"/>
          <w:i/>
          <w:sz w:val="20"/>
        </w:rPr>
        <w:t>provided</w:t>
      </w:r>
      <w:r>
        <w:rPr>
          <w:rFonts w:ascii="Times New Roman" w:hAnsi="Times New Roman"/>
          <w:sz w:val="20"/>
        </w:rPr>
        <w:t xml:space="preserve"> that the Committee may decide to award additional Restricted Stock or other Awards in lieu of any cash distribution. Notwithstanding anything to the contrary herein, for purposes of Incentive Stock Options, any assumed or substituted Stock Option shall comply with the requirements of Treasury Regulation Section 1.424-1 (and any amendment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Times New Roman" w:hAnsi="Times New Roman"/>
          <w:i/>
          <w:sz w:val="20"/>
        </w:rPr>
        <w:t>provided, however</w:t>
      </w:r>
      <w:r>
        <w:rPr>
          <w:rFonts w:ascii="Times New Roman" w:hAnsi="Times New Roman"/>
          <w:sz w:val="20"/>
        </w:rPr>
        <w:t xml:space="preserve">, that if the exercise price of an Option or Stock Appreciation Right exceeds the Change in Control Price, such Award may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at least twenty (20) days prior to the date of consummation of the Change in Control, in which case during the period from the date on which such notice of termination is delivered to the consummation of the Change in Control,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Times New Roman" w:hAnsi="Times New Roman"/>
          <w:i/>
          <w:sz w:val="20"/>
        </w:rPr>
        <w:t>provided</w:t>
      </w:r>
      <w:r>
        <w:rPr>
          <w:rFonts w:ascii="Times New Roman" w:hAnsi="Times New Roman"/>
          <w:sz w:val="20"/>
        </w:rPr>
        <w:t xml:space="preserve"> that, if the Change in Control does not take place within a specified period after giving such notice for any reason whatsoever, the notice and exercise pursuant thereto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herein to the contrary, the Committee may, in its sole discretion, provide for accelerated vesting or lapse of restrictions, of an Award at any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OR AMENDMENT OF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Plan, the Board or the Committee may at any time, and from time to time, amend, in whole or in part, any or all of the provisions of this Plan (including any amendment deemed necessary to ensure that the Company may comply with any Applicable Law), or suspend or terminate it entirely, retroactively or otherwise; </w:t>
      </w:r>
      <w:r>
        <w:rPr>
          <w:rFonts w:ascii="Times New Roman" w:hAnsi="Times New Roman"/>
          <w:i/>
          <w:sz w:val="20"/>
        </w:rPr>
        <w:t>provided, however</w:t>
      </w:r>
      <w:r>
        <w:rPr>
          <w:rFonts w:ascii="Times New Roman" w:hAnsi="Times New Roman"/>
          <w:sz w:val="20"/>
        </w:rPr>
        <w:t xml:space="preserve">, that, unless otherwise required by Applicable Law or specifically provided herein, the rights of a Participant with respect to Awards granted prior to such amendment, suspension, or termination may not be materially impaired without the consent of such Participant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without the approval of the holders of the Shares entitled to vote in accordance with Applicable Law, no amendment may be made that would (a) increase the aggregate number of Shares that may be issued under this Plan (except by operation of Section 4.1); or (b) change the classification of individuals eligible to receive Awards under this Plan. In addition, the Board or the Committee shall, without the approval of the holders of the Shares entitled to vote in accordance with Applicable Law, have the authority to (i) amend any outstanding Option or Stock Appreciation Right to reduce its exercise price per Share or (ii) cancel any Option or Stock Appreciation Right in exchange for cash or another Award. Notwithstanding anything herein to the contrary, the Board or the Committee may amend this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no such amendment or other action by the Committee shall materially impair the rights of any Participant without the Participant’s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UNFUNDED STATUS OF PLAN </w:t>
      </w:r>
    </w:p>
    <w:p>
      <w:pPr>
        <w:pStyle w:val="TextBody"/>
        <w:bidi w:val="0"/>
        <w:spacing w:before="240" w:after="0"/>
        <w:jc w:val="left"/>
        <w:rPr>
          <w:rFonts w:ascii="Times New Roman" w:hAnsi="Times New Roman"/>
          <w:sz w:val="20"/>
        </w:rPr>
      </w:pPr>
      <w:r>
        <w:rPr>
          <w:rFonts w:ascii="Times New Roman" w:hAnsi="Times New Roman"/>
          <w:sz w:val="20"/>
        </w:rPr>
        <w:t xml:space="preserve">This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sz w:val="20"/>
          <w:u w:val="single"/>
        </w:rPr>
        <w:t>Lock-Up; Legend</w:t>
      </w:r>
      <w:r>
        <w:rPr>
          <w:rFonts w:ascii="Times New Roman" w:hAnsi="Times New Roman"/>
          <w:sz w:val="20"/>
        </w:rPr>
        <w:t xml:space="preserve">. The Committee may require each person receiving Shares pursuant to a Stock Option or other Award under this Plan to represent to and agree with the Company in writing that the Participant is acquiring the Shares without a view to distribution thereof. The Company may, in connection with registering the offering of any Company securities under the Securities Act, prohibit Participants from, directly or indirectly, selling or otherwise transferring any Shares or other Company securities during any period determined by the underwriter or the Company. In addition to any legend required by this Plan, the certificates for such Shares may include any legend that the Committee deems appropriate to reflect any restrictions on transfer. All certificates for Shares delivered under this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sz w:val="20"/>
          <w:u w:val="single"/>
        </w:rPr>
        <w:t>Other Plans</w:t>
      </w:r>
      <w:r>
        <w:rPr>
          <w:rFonts w:ascii="Times New Roman" w:hAnsi="Times New Roman"/>
          <w:sz w:val="20"/>
        </w:rPr>
        <w:t xml:space="preserve">. Nothing contained in this Plan shall prevent the Board from adopting other or additional compensation arrangements, subject to stockholder approval if such approval is required, and such arrangements may be either generally applicable or applicable only in specific cases.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sz w:val="20"/>
          <w:u w:val="single"/>
        </w:rPr>
        <w:t>No Right to Employment/Directorship/Consultancy</w:t>
      </w:r>
      <w:r>
        <w:rPr>
          <w:rFonts w:ascii="Times New Roman" w:hAnsi="Times New Roman"/>
          <w:sz w:val="20"/>
        </w:rPr>
        <w:t xml:space="preserve">. Neither this Plan nor the grant of any Award hereunder shall give any Participant or other employee, Consultant or Non-Employee Director any right with respect to continuance of employment, consultancy or directorship by the Company or any Affiliate, nor shall there be a limitation in any way on the right of the Company or any Affiliate by which an employee is employed or a Consultant or Non-Employee Director is retained to terminate such employment, consultancy, or directorship at any time.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xml:space="preserve"> </w:t>
      </w:r>
      <w:r>
        <w:rPr>
          <w:rFonts w:ascii="Times New Roman" w:hAnsi="Times New Roman"/>
          <w:b/>
          <w:sz w:val="20"/>
          <w:u w:val="single"/>
        </w:rPr>
        <w:t>Withholding of Taxes</w:t>
      </w:r>
      <w:r>
        <w:rPr>
          <w:rFonts w:ascii="Times New Roman" w:hAnsi="Times New Roman"/>
          <w:sz w:val="20"/>
        </w:rPr>
        <w:t xml:space="preserve">. A Participant shall be required to pay to the Company or one of its Affiliates, as applicable, or make arrangements satisfactory to the Company regarding the payment of, any income tax, social insurance contribution or other applicable taxes that are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withheld in respect of an Award. The Committee may (but is not obligated to), in its sole discretion, permit or require a Participant to satisfy all or any portion of the applicable taxes that are required to be withheld with respect to an Award by (a) the delivery of Shares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(c) by any other means specified in the applicable Award Agreement or otherwise determined by the Committee. </w:t>
      </w:r>
    </w:p>
    <w:p>
      <w:pPr>
        <w:pStyle w:val="TextBody"/>
        <w:bidi w:val="0"/>
        <w:spacing w:before="240" w:after="0"/>
        <w:jc w:val="left"/>
        <w:rPr>
          <w:rFonts w:ascii="Times New Roman" w:hAnsi="Times New Roman"/>
          <w:sz w:val="20"/>
        </w:rPr>
      </w:pPr>
      <w:r>
        <w:rPr>
          <w:rFonts w:ascii="Times New Roman" w:hAnsi="Times New Roman"/>
          <w:b/>
          <w:sz w:val="20"/>
        </w:rPr>
        <w:t>13.5</w:t>
      </w:r>
      <w:r>
        <w:rPr>
          <w:rFonts w:ascii="Times New Roman" w:hAnsi="Times New Roman"/>
          <w:sz w:val="20"/>
        </w:rPr>
        <w:t xml:space="preserve"> </w:t>
      </w:r>
      <w:r>
        <w:rPr>
          <w:rFonts w:ascii="Times New Roman" w:hAnsi="Times New Roman"/>
          <w:b/>
          <w:sz w:val="20"/>
          <w:u w:val="single"/>
        </w:rPr>
        <w:t>Fractional Shares</w:t>
      </w:r>
      <w:r>
        <w:rPr>
          <w:rFonts w:ascii="Times New Roman" w:hAnsi="Times New Roman"/>
          <w:sz w:val="20"/>
        </w:rPr>
        <w:t xml:space="preserve">. No fractional Shares shall be issued or delivered pursuant to this Plan. The Committee shall determine whether cash, additional Awards, or other securities or property shall be used or paid in lieu of fractional Shares or whether any fractional shares should be rounded, forfeited, or otherwise eliminated.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xml:space="preserve"> </w:t>
      </w:r>
      <w:r>
        <w:rPr>
          <w:rFonts w:ascii="Times New Roman" w:hAnsi="Times New Roman"/>
          <w:b/>
          <w:sz w:val="20"/>
          <w:u w:val="single"/>
        </w:rPr>
        <w:t>No Assignment of Benefits</w:t>
      </w:r>
      <w:r>
        <w:rPr>
          <w:rFonts w:ascii="Times New Roman" w:hAnsi="Times New Roman"/>
          <w:sz w:val="20"/>
        </w:rPr>
        <w:t xml:space="preserve">. No Award or other benefit payable under this Plan shall, except as otherwise specifically provided in this Plan or under Applicable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 </w:t>
      </w:r>
    </w:p>
    <w:p>
      <w:pPr>
        <w:pStyle w:val="TextBody"/>
        <w:bidi w:val="0"/>
        <w:spacing w:before="240" w:after="0"/>
        <w:jc w:val="left"/>
        <w:rPr>
          <w:rFonts w:ascii="Times New Roman" w:hAnsi="Times New Roman"/>
          <w:sz w:val="20"/>
        </w:rPr>
      </w:pPr>
      <w:r>
        <w:rPr>
          <w:rFonts w:ascii="Times New Roman" w:hAnsi="Times New Roman"/>
          <w:b/>
          <w:sz w:val="20"/>
        </w:rPr>
        <w:t>13.7</w:t>
      </w:r>
      <w:r>
        <w:rPr>
          <w:rFonts w:ascii="Times New Roman" w:hAnsi="Times New Roman"/>
          <w:sz w:val="20"/>
        </w:rPr>
        <w:t xml:space="preserve"> </w:t>
      </w:r>
      <w:r>
        <w:rPr>
          <w:rFonts w:ascii="Times New Roman" w:hAnsi="Times New Roman"/>
          <w:b/>
          <w:sz w:val="20"/>
          <w:u w:val="single"/>
        </w:rPr>
        <w:t>Clawbacks; Detrimental Conduct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Clawbacks</w:t>
      </w:r>
      <w:r>
        <w:rPr>
          <w:rFonts w:ascii="Times New Roman" w:hAnsi="Times New Roman"/>
          <w:sz w:val="20"/>
        </w:rPr>
        <w:t xml:space="preserve">. All awards, amounts, or benefits received or outstanding under this Plan will be subject to clawback, cancellation, recoupment, rescission, payback, reduction, or other similar action in accordance with any Company clawback or similar policy or any Applicable Law related to such actions. A Participant’s acceptance of an Award will constitute the Participant’s acknowledgement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Detrimental Conduct</w:t>
      </w:r>
      <w:r>
        <w:rPr>
          <w:rFonts w:ascii="Times New Roman" w:hAnsi="Times New Roman"/>
          <w:sz w:val="20"/>
        </w:rPr>
        <w:t xml:space="preserve">. Except as otherwise determined by the Committee, notwithstanding any other term or condition of this Plan, if a Participant engages in Detrimental Conduct, whether during or after the Participant’s service, in addition to any other penalties or restrictions that may apply under this Plan, Applicable Law or otherwise, the Participant must forfeit or pay to the Company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and all outstanding Awards granted to the Participant, including Awards that have become vested or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cash or Shares received by the Participant in connection with this Plan within the twenty-four (24)-month period immediately before the date the Company determines the Participant has engaged in Detrimental Conduct; and </w:t>
      </w:r>
    </w:p>
    <w:p>
      <w:pPr>
        <w:pStyle w:val="TextBody"/>
        <w:bidi w:val="0"/>
        <w:spacing w:before="120" w:after="0"/>
        <w:jc w:val="left"/>
        <w:rPr>
          <w:rFonts w:ascii="Times New Roman" w:hAnsi="Times New Roman"/>
          <w:sz w:val="20"/>
        </w:rPr>
      </w:pPr>
      <w:r>
        <w:rPr>
          <w:rFonts w:ascii="Times New Roman" w:hAnsi="Times New Roman"/>
          <w:sz w:val="20"/>
        </w:rPr>
        <w:t xml:space="preserve">(iii) the profit realized by the Participant from the sale, or other disposition for consideration, of any Shares received by the Participant under this Plan within the 36-month period immediately before the date the Company determines the Participant has engaged in Detrimental Conduct. </w:t>
      </w:r>
    </w:p>
    <w:p>
      <w:pPr>
        <w:pStyle w:val="TextBody"/>
        <w:bidi w:val="0"/>
        <w:spacing w:before="240" w:after="0"/>
        <w:jc w:val="left"/>
        <w:rPr>
          <w:rFonts w:ascii="Times New Roman" w:hAnsi="Times New Roman"/>
          <w:sz w:val="20"/>
        </w:rPr>
      </w:pPr>
      <w:r>
        <w:rPr>
          <w:rFonts w:ascii="Times New Roman" w:hAnsi="Times New Roman"/>
          <w:b/>
          <w:sz w:val="20"/>
        </w:rPr>
        <w:t>13.8</w:t>
      </w:r>
      <w:r>
        <w:rPr>
          <w:rFonts w:ascii="Times New Roman" w:hAnsi="Times New Roman"/>
          <w:sz w:val="20"/>
        </w:rPr>
        <w:t xml:space="preserve"> </w:t>
      </w:r>
      <w:r>
        <w:rPr>
          <w:rFonts w:ascii="Times New Roman" w:hAnsi="Times New Roman"/>
          <w:b/>
          <w:sz w:val="20"/>
          <w:u w:val="single"/>
        </w:rPr>
        <w:t>Listing and Other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the Committee, as long as the Common Stock is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counsel to the Company advises the Company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based on the advice of said counsel, such sale or delivery shall be lawful or will not result in the imposition of excise taxes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(c) Upon termination of any period of suspension under this Section 13.8,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shall be required to supply the Company with certificates, representations, and information that the Company requests and otherwise cooperate with the Company in obtaining any listing, registration, qualification, exemption, consent, or approval that the Company deems necessary or appropriate.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Plan and actions taken in connection herewith shall be governed and construed in accordance with the laws of the State of Delaware, without reference to principles of conflict of laws. </w:t>
      </w:r>
    </w:p>
    <w:p>
      <w:pPr>
        <w:pStyle w:val="TextBody"/>
        <w:bidi w:val="0"/>
        <w:spacing w:before="240" w:after="0"/>
        <w:jc w:val="left"/>
        <w:rPr>
          <w:rFonts w:ascii="Times New Roman" w:hAnsi="Times New Roman"/>
          <w:sz w:val="20"/>
        </w:rPr>
      </w:pPr>
      <w:r>
        <w:rPr>
          <w:rFonts w:ascii="Times New Roman" w:hAnsi="Times New Roman"/>
          <w:b/>
          <w:sz w:val="20"/>
        </w:rPr>
        <w:t>13.10</w:t>
      </w:r>
      <w:r>
        <w:rPr>
          <w:rFonts w:ascii="Times New Roman" w:hAnsi="Times New Roman"/>
          <w:sz w:val="20"/>
        </w:rPr>
        <w:t xml:space="preserve"> </w:t>
      </w:r>
      <w:r>
        <w:rPr>
          <w:rFonts w:ascii="Times New Roman" w:hAnsi="Times New Roman"/>
          <w:b/>
          <w:sz w:val="20"/>
          <w:u w:val="single"/>
        </w:rPr>
        <w:t>Construction</w:t>
      </w:r>
      <w:r>
        <w:rPr>
          <w:rFonts w:ascii="Times New Roman" w:hAnsi="Times New Roman"/>
          <w:sz w:val="20"/>
        </w:rPr>
        <w:t xml:space="preserve">. Wherever any words are used in this Plan in the masculine gender they shall be construed as though they were also used in the feminine gender in all cases where they would so apply, and wherever words are used herein in the singular form they shall be construed as though they were also used in the plural form in all cases where they would so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13.11</w:t>
      </w:r>
      <w:r>
        <w:rPr>
          <w:rFonts w:ascii="Times New Roman" w:hAnsi="Times New Roman"/>
          <w:sz w:val="20"/>
        </w:rPr>
        <w:t xml:space="preserve"> </w:t>
      </w:r>
      <w:r>
        <w:rPr>
          <w:rFonts w:ascii="Times New Roman" w:hAnsi="Times New Roman"/>
          <w:b/>
          <w:sz w:val="20"/>
          <w:u w:val="single"/>
        </w:rPr>
        <w:t>Other Benefits</w:t>
      </w:r>
      <w:r>
        <w:rPr>
          <w:rFonts w:ascii="Times New Roman" w:hAnsi="Times New Roman"/>
          <w:sz w:val="20"/>
        </w:rPr>
        <w:t xml:space="preserve">. No Award granted or paid out under this Plan shall be deemed compensation for purposes of computing benefits under any retirement plan of the Company or its Affiliates or affect any benefit or compensation under any other plan now or subsequently in effect under which the availability or amount of benefits is related to the level of compensation. </w:t>
      </w:r>
    </w:p>
    <w:p>
      <w:pPr>
        <w:pStyle w:val="TextBody"/>
        <w:bidi w:val="0"/>
        <w:spacing w:before="240" w:after="0"/>
        <w:jc w:val="left"/>
        <w:rPr>
          <w:rFonts w:ascii="Times New Roman" w:hAnsi="Times New Roman"/>
          <w:sz w:val="20"/>
        </w:rPr>
      </w:pPr>
      <w:r>
        <w:rPr>
          <w:rFonts w:ascii="Times New Roman" w:hAnsi="Times New Roman"/>
          <w:b/>
          <w:sz w:val="20"/>
        </w:rPr>
        <w:t>13.12</w:t>
      </w:r>
      <w:r>
        <w:rPr>
          <w:rFonts w:ascii="Times New Roman" w:hAnsi="Times New Roman"/>
          <w:sz w:val="20"/>
        </w:rPr>
        <w:t xml:space="preserve"> </w:t>
      </w:r>
      <w:r>
        <w:rPr>
          <w:rFonts w:ascii="Times New Roman" w:hAnsi="Times New Roman"/>
          <w:b/>
          <w:sz w:val="20"/>
          <w:u w:val="single"/>
        </w:rPr>
        <w:t>Costs</w:t>
      </w:r>
      <w:r>
        <w:rPr>
          <w:rFonts w:ascii="Times New Roman" w:hAnsi="Times New Roman"/>
          <w:sz w:val="20"/>
        </w:rPr>
        <w:t xml:space="preserve">. The Company shall bear all expenses associated with administering this Plan, including expenses of issuing Shares pursuant to Awards hereunder. </w:t>
      </w:r>
    </w:p>
    <w:p>
      <w:pPr>
        <w:pStyle w:val="TextBody"/>
        <w:bidi w:val="0"/>
        <w:spacing w:before="240" w:after="0"/>
        <w:jc w:val="left"/>
        <w:rPr>
          <w:rFonts w:ascii="Times New Roman" w:hAnsi="Times New Roman"/>
          <w:sz w:val="20"/>
        </w:rPr>
      </w:pPr>
      <w:r>
        <w:rPr>
          <w:rFonts w:ascii="Times New Roman" w:hAnsi="Times New Roman"/>
          <w:b/>
          <w:sz w:val="20"/>
        </w:rPr>
        <w:t>13.13</w:t>
      </w:r>
      <w:r>
        <w:rPr>
          <w:rFonts w:ascii="Times New Roman" w:hAnsi="Times New Roman"/>
          <w:sz w:val="20"/>
        </w:rPr>
        <w:t xml:space="preserve"> </w:t>
      </w:r>
      <w:r>
        <w:rPr>
          <w:rFonts w:ascii="Times New Roman" w:hAnsi="Times New Roman"/>
          <w:b/>
          <w:sz w:val="20"/>
          <w:u w:val="single"/>
        </w:rPr>
        <w:t>No Right to Same Benefits</w:t>
      </w:r>
      <w:r>
        <w:rPr>
          <w:rFonts w:ascii="Times New Roman" w:hAnsi="Times New Roman"/>
          <w:sz w:val="20"/>
        </w:rPr>
        <w:t xml:space="preserve">. The provisions of Awards need not be the same with respect to each Participant, and such Awards to individual Participants need not be the same in subsequent years. </w:t>
      </w:r>
    </w:p>
    <w:p>
      <w:pPr>
        <w:pStyle w:val="TextBody"/>
        <w:bidi w:val="0"/>
        <w:spacing w:before="240" w:after="0"/>
        <w:jc w:val="left"/>
        <w:rPr>
          <w:rFonts w:ascii="Times New Roman" w:hAnsi="Times New Roman"/>
          <w:sz w:val="20"/>
        </w:rPr>
      </w:pPr>
      <w:r>
        <w:rPr>
          <w:rFonts w:ascii="Times New Roman" w:hAnsi="Times New Roman"/>
          <w:b/>
          <w:sz w:val="20"/>
        </w:rPr>
        <w:t>13.14</w:t>
      </w:r>
      <w:r>
        <w:rPr>
          <w:rFonts w:ascii="Times New Roman" w:hAnsi="Times New Roman"/>
          <w:sz w:val="20"/>
        </w:rPr>
        <w:t xml:space="preserve"> </w:t>
      </w:r>
      <w:r>
        <w:rPr>
          <w:rFonts w:ascii="Times New Roman" w:hAnsi="Times New Roman"/>
          <w:b/>
          <w:sz w:val="20"/>
          <w:u w:val="single"/>
        </w:rPr>
        <w:t>Death/Disability</w:t>
      </w:r>
      <w:r>
        <w:rPr>
          <w:rFonts w:ascii="Times New Roman" w:hAnsi="Times New Roman"/>
          <w:sz w:val="20"/>
        </w:rPr>
        <w:t xml:space="preserve">.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 </w:t>
      </w:r>
    </w:p>
    <w:p>
      <w:pPr>
        <w:pStyle w:val="TextBody"/>
        <w:bidi w:val="0"/>
        <w:spacing w:before="240" w:after="0"/>
        <w:jc w:val="left"/>
        <w:rPr>
          <w:rFonts w:ascii="Times New Roman" w:hAnsi="Times New Roman"/>
          <w:sz w:val="20"/>
        </w:rPr>
      </w:pPr>
      <w:r>
        <w:rPr>
          <w:rFonts w:ascii="Times New Roman" w:hAnsi="Times New Roman"/>
          <w:b/>
          <w:sz w:val="20"/>
        </w:rPr>
        <w:t>13.15</w:t>
      </w:r>
      <w:r>
        <w:rPr>
          <w:rFonts w:ascii="Times New Roman" w:hAnsi="Times New Roman"/>
          <w:sz w:val="20"/>
        </w:rPr>
        <w:t xml:space="preserve"> </w:t>
      </w:r>
      <w:r>
        <w:rPr>
          <w:rFonts w:ascii="Times New Roman" w:hAnsi="Times New Roman"/>
          <w:b/>
          <w:sz w:val="20"/>
          <w:u w:val="single"/>
        </w:rPr>
        <w:t>Section 16(b) of the Exchange Act</w:t>
      </w:r>
      <w:r>
        <w:rPr>
          <w:rFonts w:ascii="Times New Roman" w:hAnsi="Times New Roman"/>
          <w:sz w:val="20"/>
        </w:rPr>
        <w:t xml:space="preserve">. It is the intent of the Company that this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Section 13.15, such provision to the extent possible shall be interpreted and/or deemed amended so as to avoid such conflict. </w:t>
      </w:r>
    </w:p>
    <w:p>
      <w:pPr>
        <w:pStyle w:val="TextBody"/>
        <w:bidi w:val="0"/>
        <w:spacing w:before="240" w:after="0"/>
        <w:jc w:val="left"/>
        <w:rPr>
          <w:rFonts w:ascii="Times New Roman" w:hAnsi="Times New Roman"/>
          <w:sz w:val="20"/>
        </w:rPr>
      </w:pPr>
      <w:r>
        <w:rPr>
          <w:rFonts w:ascii="Times New Roman" w:hAnsi="Times New Roman"/>
          <w:b/>
          <w:sz w:val="20"/>
        </w:rPr>
        <w:t>13.16</w:t>
      </w:r>
      <w:r>
        <w:rPr>
          <w:rFonts w:ascii="Times New Roman" w:hAnsi="Times New Roman"/>
          <w:sz w:val="20"/>
        </w:rPr>
        <w:t xml:space="preserve"> </w:t>
      </w:r>
      <w:r>
        <w:rPr>
          <w:rFonts w:ascii="Times New Roman" w:hAnsi="Times New Roman"/>
          <w:b/>
          <w:sz w:val="20"/>
          <w:u w:val="single"/>
        </w:rPr>
        <w:t>Deferral of Awards</w:t>
      </w:r>
      <w:r>
        <w:rPr>
          <w:rFonts w:ascii="Times New Roman" w:hAnsi="Times New Roman"/>
          <w:sz w:val="20"/>
        </w:rPr>
        <w:t xml:space="preserve">. The Committee may establish one or more programs under this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 </w:t>
      </w:r>
    </w:p>
    <w:p>
      <w:pPr>
        <w:pStyle w:val="TextBody"/>
        <w:bidi w:val="0"/>
        <w:spacing w:before="240" w:after="0"/>
        <w:jc w:val="left"/>
        <w:rPr>
          <w:rFonts w:ascii="Times New Roman" w:hAnsi="Times New Roman"/>
          <w:sz w:val="20"/>
        </w:rPr>
      </w:pPr>
      <w:r>
        <w:rPr>
          <w:rFonts w:ascii="Times New Roman" w:hAnsi="Times New Roman"/>
          <w:b/>
          <w:sz w:val="20"/>
        </w:rPr>
        <w:t>13.17</w:t>
      </w:r>
      <w:r>
        <w:rPr>
          <w:rFonts w:ascii="Times New Roman" w:hAnsi="Times New Roman"/>
          <w:sz w:val="20"/>
        </w:rPr>
        <w:t xml:space="preserve"> </w:t>
      </w:r>
      <w:r>
        <w:rPr>
          <w:rFonts w:ascii="Times New Roman" w:hAnsi="Times New Roman"/>
          <w:b/>
          <w:sz w:val="20"/>
          <w:u w:val="single"/>
        </w:rPr>
        <w:t>Section 409A of the Code</w:t>
      </w:r>
      <w:r>
        <w:rPr>
          <w:rFonts w:ascii="Times New Roman" w:hAnsi="Times New Roman"/>
          <w:sz w:val="20"/>
        </w:rPr>
        <w:t xml:space="preserve">. This Plan and Awards are intended to comply with or be exempt from the applicable requirements of Section 409A of the Code and shall be limited, construed, and interpreted in accordance with such intent. To the extent that any Award is subject to Section 409A of the Code, it shall be paid in a manner that will comply with Section 409A of the Code. Notwithstanding anything herein to the contrary, any provision in this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 or the Company and, in the event that any amount or benefit under this Plan becomes subject to penalties under Section 409A of the Code, responsibility for payment of such penalties shall rest solely with the affected Participants and not with the Company. Notwithstanding any contrary provision in this Plan or Award Agreement, any payment(s) of “nonqualified deferred compensation” (within the meaning of Section 409A of the Code) that are otherwise required to be made under this Plan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the Award Agreement) upon expiration of such delay period. </w:t>
      </w:r>
    </w:p>
    <w:p>
      <w:pPr>
        <w:pStyle w:val="TextBody"/>
        <w:bidi w:val="0"/>
        <w:spacing w:before="240" w:after="0"/>
        <w:jc w:val="left"/>
        <w:rPr>
          <w:rFonts w:ascii="Times New Roman" w:hAnsi="Times New Roman"/>
          <w:sz w:val="20"/>
        </w:rPr>
      </w:pPr>
      <w:r>
        <w:rPr>
          <w:rFonts w:ascii="Times New Roman" w:hAnsi="Times New Roman"/>
          <w:b/>
          <w:sz w:val="20"/>
        </w:rPr>
        <w:t>13.18</w:t>
      </w:r>
      <w:r>
        <w:rPr>
          <w:rFonts w:ascii="Times New Roman" w:hAnsi="Times New Roman"/>
          <w:sz w:val="20"/>
        </w:rPr>
        <w:t xml:space="preserve"> </w:t>
      </w:r>
      <w:r>
        <w:rPr>
          <w:rFonts w:ascii="Times New Roman" w:hAnsi="Times New Roman"/>
          <w:b/>
          <w:sz w:val="20"/>
          <w:u w:val="single"/>
        </w:rPr>
        <w:t>Data Privacy</w:t>
      </w:r>
      <w:r>
        <w:rPr>
          <w:rFonts w:ascii="Times New Roman" w:hAnsi="Times New Roman"/>
          <w:sz w:val="20"/>
        </w:rPr>
        <w:t>. As a condition of receipt of any Award, each Participant explicitly and unambiguously consents to the collection, use, and transfer, in electronic or other form, of personal data as described in this Section 13.18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 w:hAnsi="Times New Roman"/>
          <w:b/>
          <w:sz w:val="20"/>
          <w:u w:val="single"/>
        </w:rPr>
        <w:t>Data</w:t>
      </w:r>
      <w:r>
        <w:rPr>
          <w:rFonts w:ascii="Times New Roman" w:hAnsi="Times New Roman"/>
          <w:sz w:val="20"/>
        </w:rPr>
        <w:t xml:space="preserve">”).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b/>
          <w:sz w:val="20"/>
        </w:rPr>
        <w:t>13.19</w:t>
      </w:r>
      <w:r>
        <w:rPr>
          <w:rFonts w:ascii="Times New Roman" w:hAnsi="Times New Roman"/>
          <w:sz w:val="20"/>
        </w:rPr>
        <w:t xml:space="preserve"> </w:t>
      </w:r>
      <w:r>
        <w:rPr>
          <w:rFonts w:ascii="Times New Roman" w:hAnsi="Times New Roman"/>
          <w:b/>
          <w:sz w:val="20"/>
          <w:u w:val="single"/>
        </w:rPr>
        <w:t>Successor and Assigns</w:t>
      </w:r>
      <w:r>
        <w:rPr>
          <w:rFonts w:ascii="Times New Roman" w:hAnsi="Times New Roman"/>
          <w:sz w:val="20"/>
        </w:rPr>
        <w:t xml:space="preserve">. This Plan shall be binding on all successors and permitted assigns of a Participant, including, without limitation, the estate of such Participant and the executor, administrator, or trustee of such estate.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13.20</w:t>
      </w:r>
      <w:r>
        <w:rPr>
          <w:rFonts w:ascii="Times New Roman" w:hAnsi="Times New Roman"/>
          <w:sz w:val="20"/>
        </w:rPr>
        <w:t xml:space="preserve"> </w:t>
      </w:r>
      <w:r>
        <w:rPr>
          <w:rFonts w:ascii="Times New Roman" w:hAnsi="Times New Roman"/>
          <w:b/>
          <w:sz w:val="20"/>
          <w:u w:val="single"/>
        </w:rPr>
        <w:t>Severability of Provisions</w:t>
      </w:r>
      <w:r>
        <w:rPr>
          <w:rFonts w:ascii="Times New Roman" w:hAnsi="Times New Roman"/>
          <w:sz w:val="20"/>
        </w:rPr>
        <w:t xml:space="preserve">. If any provision of this Plan shall be held invalid or unenforceable, such invalidity or unenforceability shall not affect any other provisions hereof, and this Plan shall be construed and enforced as if such provisions had not been included. </w:t>
      </w:r>
    </w:p>
    <w:p>
      <w:pPr>
        <w:pStyle w:val="TextBody"/>
        <w:bidi w:val="0"/>
        <w:spacing w:before="240" w:after="0"/>
        <w:jc w:val="left"/>
        <w:rPr>
          <w:rFonts w:ascii="Times New Roman" w:hAnsi="Times New Roman"/>
          <w:sz w:val="20"/>
        </w:rPr>
      </w:pPr>
      <w:r>
        <w:rPr>
          <w:rFonts w:ascii="Times New Roman" w:hAnsi="Times New Roman"/>
          <w:b/>
          <w:sz w:val="20"/>
        </w:rPr>
        <w:t>13.21</w:t>
      </w:r>
      <w:r>
        <w:rPr>
          <w:rFonts w:ascii="Times New Roman" w:hAnsi="Times New Roman"/>
          <w:sz w:val="20"/>
        </w:rPr>
        <w:t xml:space="preserve"> </w:t>
      </w:r>
      <w:r>
        <w:rPr>
          <w:rFonts w:ascii="Times New Roman" w:hAnsi="Times New Roman"/>
          <w:b/>
          <w:sz w:val="20"/>
          <w:u w:val="single"/>
        </w:rPr>
        <w:t>Headings and Captions</w:t>
      </w:r>
      <w:r>
        <w:rPr>
          <w:rFonts w:ascii="Times New Roman" w:hAnsi="Times New Roman"/>
          <w:sz w:val="20"/>
        </w:rPr>
        <w:t xml:space="preserve">. The headings and captions herein are provided for reference and convenience only, shall not be considered part of this Plan, and shall not be employed in the construction of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EFFECTIVE DATE OF PLAN </w:t>
      </w:r>
    </w:p>
    <w:p>
      <w:pPr>
        <w:pStyle w:val="TextBody"/>
        <w:bidi w:val="0"/>
        <w:spacing w:before="240" w:after="0"/>
        <w:jc w:val="left"/>
        <w:rPr>
          <w:rFonts w:ascii="Times New Roman" w:hAnsi="Times New Roman"/>
          <w:sz w:val="20"/>
        </w:rPr>
      </w:pPr>
      <w:r>
        <w:rPr>
          <w:rFonts w:ascii="Times New Roman" w:hAnsi="Times New Roman"/>
          <w:sz w:val="20"/>
        </w:rPr>
        <w:t xml:space="preserve">This Plan was adopted by the Board on June 5, 2026, subject to the approval of this Plan by the stockholders of the Company in accordance with the requirements of the laws of the State of Delaware, to be effective on June 30,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TERM OF PLAN </w:t>
      </w:r>
    </w:p>
    <w:p>
      <w:pPr>
        <w:pStyle w:val="TextBody"/>
        <w:bidi w:val="0"/>
        <w:spacing w:before="240" w:after="0"/>
        <w:jc w:val="left"/>
        <w:rPr>
          <w:rFonts w:ascii="Times New Roman" w:hAnsi="Times New Roman"/>
          <w:sz w:val="20"/>
        </w:rPr>
      </w:pPr>
      <w:r>
        <w:rPr>
          <w:rFonts w:ascii="Times New Roman" w:hAnsi="Times New Roman"/>
          <w:sz w:val="20"/>
        </w:rPr>
        <w:t xml:space="preserve">No Award shall be granted pursuant to this Plan on or after the tenth (10th) anniversary of the earlier of the date that this Plan is adopted by the Board or the date of stockholder approval, but Awards granted prior to such tenth (10th) anniversary may extend beyond that date. </w:t>
      </w:r>
    </w:p>
    <w:p>
      <w:pPr>
        <w:pStyle w:val="TextBody"/>
        <w:bidi w:val="0"/>
        <w:spacing w:before="24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right"/>
        <w:rPr>
          <w:rFonts w:ascii="Times New Roman" w:hAnsi="Times New Roman"/>
          <w:b/>
          <w:sz w:val="20"/>
        </w:rPr>
      </w:pPr>
      <w:bookmarkStart w:id="19" w:name="d88011dex104.htm"/>
      <w:bookmarkStart w:id="20" w:name="ksd88011dex104"/>
      <w:bookmarkEnd w:id="19"/>
      <w:bookmarkEnd w:id="20"/>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ITG, INC. </w:t>
      </w:r>
    </w:p>
    <w:p>
      <w:pPr>
        <w:pStyle w:val="TextBody"/>
        <w:bidi w:val="0"/>
        <w:spacing w:before="0" w:after="0"/>
        <w:jc w:val="center"/>
        <w:rPr>
          <w:rFonts w:ascii="Times New Roman" w:hAnsi="Times New Roman"/>
          <w:b/>
          <w:sz w:val="20"/>
        </w:rPr>
      </w:pPr>
      <w:r>
        <w:rPr>
          <w:rFonts w:ascii="Times New Roman" w:hAnsi="Times New Roman"/>
          <w:b/>
          <w:sz w:val="20"/>
        </w:rPr>
        <w:t xml:space="preserve">OMNIBUS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GRANT NOTICE </w:t>
      </w:r>
    </w:p>
    <w:p>
      <w:pPr>
        <w:pStyle w:val="TextBody"/>
        <w:bidi w:val="0"/>
        <w:spacing w:before="240" w:after="0"/>
        <w:jc w:val="left"/>
        <w:rPr>
          <w:rFonts w:ascii="Times New Roman" w:hAnsi="Times New Roman"/>
          <w:sz w:val="20"/>
        </w:rPr>
      </w:pPr>
      <w:r>
        <w:rPr>
          <w:rFonts w:ascii="Times New Roman" w:hAnsi="Times New Roman"/>
          <w:sz w:val="20"/>
        </w:rPr>
        <w:t>Pursuant to the terms and conditions of the ITG, Inc. Omnibus Incentive Plan, as amended from time to time (the “</w:t>
      </w:r>
      <w:r>
        <w:rPr>
          <w:rFonts w:ascii="Times New Roman" w:hAnsi="Times New Roman"/>
          <w:b/>
          <w:sz w:val="20"/>
          <w:u w:val="single"/>
        </w:rPr>
        <w:t>Plan</w:t>
      </w:r>
      <w:r>
        <w:rPr>
          <w:rFonts w:ascii="Times New Roman" w:hAnsi="Times New Roman"/>
          <w:sz w:val="20"/>
        </w:rPr>
        <w:t>”), ITG, Inc., a Delaware corporation (the “</w:t>
      </w:r>
      <w:r>
        <w:rPr>
          <w:rFonts w:ascii="Times New Roman" w:hAnsi="Times New Roman"/>
          <w:b/>
          <w:sz w:val="20"/>
          <w:u w:val="single"/>
        </w:rPr>
        <w:t>Company</w:t>
      </w:r>
      <w:r>
        <w:rPr>
          <w:rFonts w:ascii="Times New Roman" w:hAnsi="Times New Roman"/>
          <w:sz w:val="20"/>
        </w:rPr>
        <w:t>”), hereby grants to the individual listed below (“</w:t>
      </w:r>
      <w:r>
        <w:rPr>
          <w:rFonts w:ascii="Times New Roman" w:hAnsi="Times New Roman"/>
          <w:b/>
          <w:sz w:val="20"/>
          <w:u w:val="single"/>
        </w:rPr>
        <w:t>you</w:t>
      </w:r>
      <w:r>
        <w:rPr>
          <w:rFonts w:ascii="Times New Roman" w:hAnsi="Times New Roman"/>
          <w:sz w:val="20"/>
        </w:rPr>
        <w:t>” or the “</w:t>
      </w:r>
      <w:r>
        <w:rPr>
          <w:rFonts w:ascii="Times New Roman" w:hAnsi="Times New Roman"/>
          <w:b/>
          <w:sz w:val="20"/>
          <w:u w:val="single"/>
        </w:rPr>
        <w:t>Participant</w:t>
      </w:r>
      <w:r>
        <w:rPr>
          <w:rFonts w:ascii="Times New Roman" w:hAnsi="Times New Roman"/>
          <w:sz w:val="20"/>
        </w:rPr>
        <w:t>”) the number of Restricted Stock Units (the “</w:t>
      </w:r>
      <w:r>
        <w:rPr>
          <w:rFonts w:ascii="Times New Roman" w:hAnsi="Times New Roman"/>
          <w:b/>
          <w:sz w:val="20"/>
          <w:u w:val="single"/>
        </w:rPr>
        <w:t>RSUs</w:t>
      </w:r>
      <w:r>
        <w:rPr>
          <w:rFonts w:ascii="Times New Roman" w:hAnsi="Times New Roman"/>
          <w:sz w:val="20"/>
        </w:rPr>
        <w:t>”) set forth below. This award of RSUs (this “</w:t>
      </w:r>
      <w:r>
        <w:rPr>
          <w:rFonts w:ascii="Times New Roman" w:hAnsi="Times New Roman"/>
          <w:b/>
          <w:sz w:val="20"/>
          <w:u w:val="single"/>
        </w:rPr>
        <w:t>Award</w:t>
      </w:r>
      <w:r>
        <w:rPr>
          <w:rFonts w:ascii="Times New Roman" w:hAnsi="Times New Roman"/>
          <w:sz w:val="20"/>
        </w:rPr>
        <w:t xml:space="preserve">”) is subject to the terms and conditions set forth herein and in the Restricted Stock Unit Agreement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u w:val="single"/>
        </w:rPr>
        <w:t>Agreement</w:t>
      </w:r>
      <w:r>
        <w:rPr>
          <w:rFonts w:ascii="Times New Roman" w:hAnsi="Times New Roman"/>
          <w:sz w:val="20"/>
        </w:rPr>
        <w:t xml:space="preserve">”), the restrictive covenants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u w:val="single"/>
        </w:rPr>
        <w:t>Restrictive Covenants</w:t>
      </w:r>
      <w:r>
        <w:rPr>
          <w:rFonts w:ascii="Times New Roman" w:hAnsi="Times New Roman"/>
          <w:sz w:val="20"/>
          <w:u w:val="single"/>
        </w:rPr>
        <w:t>”</w:t>
      </w:r>
      <w:r>
        <w:rPr>
          <w:rFonts w:ascii="Times New Roman" w:hAnsi="Times New Roman"/>
          <w:sz w:val="20"/>
        </w:rPr>
        <w:t xml:space="preserve">) and the Plan, each of which is incorporated herein by reference. Capitalized terms used but not defined herein shall have the meanings set forth in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4"/>
        <w:gridCol w:w="123"/>
        <w:gridCol w:w="7108"/>
      </w:tblGrid>
      <w:tr>
        <w:trPr/>
        <w:tc>
          <w:tcPr>
            <w:tcW w:w="29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08" w:type="dxa"/>
            <w:tcBorders/>
            <w:vAlign w:val="center"/>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283"/>
              <w:jc w:val="left"/>
              <w:rPr>
                <w:b/>
              </w:rPr>
            </w:pPr>
            <w:r>
              <w:rPr>
                <w:b/>
              </w:rPr>
              <w:t>Type of Award:</w:t>
            </w:r>
          </w:p>
        </w:tc>
        <w:tc>
          <w:tcPr>
            <w:tcW w:w="123"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Restricted Stock Units</w:t>
            </w:r>
          </w:p>
        </w:tc>
      </w:tr>
      <w:tr>
        <w:trPr>
          <w:trHeight w:val="120" w:hRule="atLeast"/>
        </w:trPr>
        <w:tc>
          <w:tcPr>
            <w:tcW w:w="2974" w:type="dxa"/>
            <w:tcBorders/>
            <w:vAlign w:val="center"/>
          </w:tcPr>
          <w:p>
            <w:pPr>
              <w:pStyle w:val="TableContents"/>
              <w:bidi w:val="0"/>
              <w:spacing w:before="0" w:after="283"/>
              <w:jc w:val="left"/>
              <w:rPr>
                <w:sz w:val="4"/>
                <w:szCs w:val="4"/>
              </w:rPr>
            </w:pPr>
            <w:r>
              <w:rPr>
                <w:sz w:val="4"/>
                <w:szCs w:val="4"/>
              </w:rPr>
            </w:r>
          </w:p>
        </w:tc>
        <w:tc>
          <w:tcPr>
            <w:tcW w:w="7231" w:type="dxa"/>
            <w:gridSpan w:val="2"/>
            <w:tcBorders/>
            <w:vAlign w:val="center"/>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283"/>
              <w:jc w:val="left"/>
              <w:rPr>
                <w:b/>
              </w:rPr>
            </w:pPr>
            <w:r>
              <w:rPr>
                <w:b/>
              </w:rPr>
              <w:t>Participant:</w:t>
            </w:r>
          </w:p>
        </w:tc>
        <w:tc>
          <w:tcPr>
            <w:tcW w:w="123"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w:t>
            </w:r>
          </w:p>
        </w:tc>
      </w:tr>
      <w:tr>
        <w:trPr>
          <w:trHeight w:val="120" w:hRule="atLeast"/>
        </w:trPr>
        <w:tc>
          <w:tcPr>
            <w:tcW w:w="2974" w:type="dxa"/>
            <w:tcBorders/>
            <w:vAlign w:val="center"/>
          </w:tcPr>
          <w:p>
            <w:pPr>
              <w:pStyle w:val="TableContents"/>
              <w:bidi w:val="0"/>
              <w:spacing w:before="0" w:after="283"/>
              <w:jc w:val="left"/>
              <w:rPr>
                <w:sz w:val="4"/>
                <w:szCs w:val="4"/>
              </w:rPr>
            </w:pPr>
            <w:r>
              <w:rPr>
                <w:sz w:val="4"/>
                <w:szCs w:val="4"/>
              </w:rPr>
            </w:r>
          </w:p>
        </w:tc>
        <w:tc>
          <w:tcPr>
            <w:tcW w:w="7231" w:type="dxa"/>
            <w:gridSpan w:val="2"/>
            <w:tcBorders/>
            <w:vAlign w:val="center"/>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283"/>
              <w:jc w:val="left"/>
              <w:rPr>
                <w:b/>
              </w:rPr>
            </w:pPr>
            <w:r>
              <w:rPr>
                <w:b/>
              </w:rPr>
              <w:t>Date of Grant:</w:t>
            </w:r>
          </w:p>
        </w:tc>
        <w:tc>
          <w:tcPr>
            <w:tcW w:w="123"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w:t>
            </w:r>
          </w:p>
        </w:tc>
      </w:tr>
      <w:tr>
        <w:trPr>
          <w:trHeight w:val="120" w:hRule="atLeast"/>
        </w:trPr>
        <w:tc>
          <w:tcPr>
            <w:tcW w:w="2974" w:type="dxa"/>
            <w:tcBorders/>
            <w:vAlign w:val="center"/>
          </w:tcPr>
          <w:p>
            <w:pPr>
              <w:pStyle w:val="TableContents"/>
              <w:bidi w:val="0"/>
              <w:spacing w:before="0" w:after="283"/>
              <w:jc w:val="left"/>
              <w:rPr>
                <w:sz w:val="4"/>
                <w:szCs w:val="4"/>
              </w:rPr>
            </w:pPr>
            <w:r>
              <w:rPr>
                <w:sz w:val="4"/>
                <w:szCs w:val="4"/>
              </w:rPr>
            </w:r>
          </w:p>
        </w:tc>
        <w:tc>
          <w:tcPr>
            <w:tcW w:w="7231" w:type="dxa"/>
            <w:gridSpan w:val="2"/>
            <w:tcBorders/>
            <w:vAlign w:val="center"/>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283"/>
              <w:jc w:val="left"/>
              <w:rPr>
                <w:b/>
              </w:rPr>
            </w:pPr>
            <w:r>
              <w:rPr>
                <w:b/>
              </w:rPr>
              <w:t>Total Number of RSUs:</w:t>
            </w:r>
          </w:p>
        </w:tc>
        <w:tc>
          <w:tcPr>
            <w:tcW w:w="123"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w:t>
            </w:r>
          </w:p>
        </w:tc>
      </w:tr>
      <w:tr>
        <w:trPr>
          <w:trHeight w:val="120" w:hRule="atLeast"/>
        </w:trPr>
        <w:tc>
          <w:tcPr>
            <w:tcW w:w="2974" w:type="dxa"/>
            <w:tcBorders/>
            <w:vAlign w:val="center"/>
          </w:tcPr>
          <w:p>
            <w:pPr>
              <w:pStyle w:val="TableContents"/>
              <w:bidi w:val="0"/>
              <w:spacing w:before="0" w:after="283"/>
              <w:jc w:val="left"/>
              <w:rPr>
                <w:sz w:val="4"/>
                <w:szCs w:val="4"/>
              </w:rPr>
            </w:pPr>
            <w:r>
              <w:rPr>
                <w:sz w:val="4"/>
                <w:szCs w:val="4"/>
              </w:rPr>
            </w:r>
          </w:p>
        </w:tc>
        <w:tc>
          <w:tcPr>
            <w:tcW w:w="7231" w:type="dxa"/>
            <w:gridSpan w:val="2"/>
            <w:tcBorders/>
            <w:vAlign w:val="center"/>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283"/>
              <w:jc w:val="left"/>
              <w:rPr>
                <w:b/>
              </w:rPr>
            </w:pPr>
            <w:r>
              <w:rPr>
                <w:b/>
              </w:rPr>
              <w:t xml:space="preserve">Vesting Schedule: </w:t>
            </w:r>
          </w:p>
        </w:tc>
        <w:tc>
          <w:tcPr>
            <w:tcW w:w="123"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By your signature below, you agree to be bound by the terms and conditions of the Plan, the Agreement and this Restricted Stock Unit Grant Notice (this “</w:t>
      </w:r>
      <w:r>
        <w:rPr>
          <w:rFonts w:ascii="Times New Roman" w:hAnsi="Times New Roman"/>
          <w:b/>
          <w:sz w:val="20"/>
          <w:u w:val="single"/>
        </w:rPr>
        <w:t>Grant Notice</w:t>
      </w:r>
      <w:r>
        <w:rPr>
          <w:rFonts w:ascii="Times New Roman" w:hAnsi="Times New Roman"/>
          <w:sz w:val="20"/>
        </w:rPr>
        <w:t xml:space="preserve">”).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this Grant Notice or the Agreement, if you have not executed and delivered to the Company this Grant Notice within 90 days following the Date of Grant, then this Award will terminate automatically without any further action by the Company and the RSUs will be forfeited without further notice and at no cost to the Company. </w:t>
      </w:r>
    </w:p>
    <w:p>
      <w:pPr>
        <w:pStyle w:val="TextBody"/>
        <w:bidi w:val="0"/>
        <w:spacing w:before="480" w:after="0"/>
        <w:jc w:val="center"/>
        <w:rPr>
          <w:rFonts w:ascii="Times New Roman" w:hAnsi="Times New Roman"/>
          <w:b/>
          <w:i/>
          <w:sz w:val="20"/>
        </w:rPr>
      </w:pPr>
      <w:r>
        <w:rPr>
          <w:rFonts w:ascii="Times New Roman" w:hAnsi="Times New Roman"/>
          <w:b/>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Grant Notice to be executed by an officer thereunto duly authorized, and the Participant has executed this Grant Notice, effective for all purposes as provided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ITG,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PARTICIPANT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RESTRICTED STOCK UNIT GRANT NOTICE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Restricted Stock Unit Agreement (together with the Grant Notice to which this Agreement is attached and </w:t>
      </w:r>
      <w:r>
        <w:rPr>
          <w:rFonts w:ascii="Times New Roman" w:hAnsi="Times New Roman"/>
          <w:sz w:val="20"/>
          <w:u w:val="single"/>
        </w:rPr>
        <w:t>Exhibit B</w:t>
      </w:r>
      <w:r>
        <w:rPr>
          <w:rFonts w:ascii="Times New Roman" w:hAnsi="Times New Roman"/>
          <w:sz w:val="20"/>
        </w:rPr>
        <w:t>, this “</w:t>
      </w:r>
      <w:r>
        <w:rPr>
          <w:rFonts w:ascii="Times New Roman" w:hAnsi="Times New Roman"/>
          <w:b/>
          <w:sz w:val="20"/>
          <w:u w:val="single"/>
        </w:rPr>
        <w:t>Agreement</w:t>
      </w:r>
      <w:r>
        <w:rPr>
          <w:rFonts w:ascii="Times New Roman" w:hAnsi="Times New Roman"/>
          <w:sz w:val="20"/>
        </w:rPr>
        <w:t>”) is made as of the Date of Grant set forth in the Grant Notice to which this Agreement is attached by and between ITG, Inc., a Delaware corporation (the “</w:t>
      </w:r>
      <w:r>
        <w:rPr>
          <w:rFonts w:ascii="Times New Roman" w:hAnsi="Times New Roman"/>
          <w:b/>
          <w:sz w:val="20"/>
          <w:u w:val="single"/>
        </w:rPr>
        <w:t>Company</w:t>
      </w:r>
      <w:r>
        <w:rPr>
          <w:rFonts w:ascii="Times New Roman" w:hAnsi="Times New Roman"/>
          <w:sz w:val="20"/>
        </w:rPr>
        <w:t>”), and [] (the “</w:t>
      </w:r>
      <w:r>
        <w:rPr>
          <w:rFonts w:ascii="Times New Roman" w:hAnsi="Times New Roman"/>
          <w:b/>
          <w:sz w:val="20"/>
          <w:u w:val="single"/>
        </w:rPr>
        <w:t>Participant</w:t>
      </w:r>
      <w:r>
        <w:rPr>
          <w:rFonts w:ascii="Times New Roman" w:hAnsi="Times New Roman"/>
          <w:sz w:val="20"/>
        </w:rPr>
        <w:t xml:space="preserve">”). Capitalized terms used but not specifically defined herein shall have the meanings specified in the Plan or the Grant Notice.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Award</w:t>
      </w:r>
      <w:r>
        <w:rPr>
          <w:rFonts w:ascii="Times New Roman" w:hAnsi="Times New Roman"/>
          <w:sz w:val="20"/>
        </w:rPr>
        <w:t>. In consideration of the Participant’s past and/or continued employment with, or service to, the Company or an Affiliate and for other good and valuable consideration, the receipt and sufficiency of which is hereby acknowledged, effective as of the Date of Grant set forth in the Grant Notice (the “</w:t>
      </w:r>
      <w:r>
        <w:rPr>
          <w:rFonts w:ascii="Times New Roman" w:hAnsi="Times New Roman"/>
          <w:b/>
          <w:sz w:val="20"/>
          <w:u w:val="single"/>
        </w:rPr>
        <w:t>Date of Grant</w:t>
      </w:r>
      <w:r>
        <w:rPr>
          <w:rFonts w:ascii="Times New Roman" w:hAnsi="Times New Roman"/>
          <w:sz w:val="20"/>
        </w:rPr>
        <w:t xml:space="preserve">”), the Company hereby grants to the Participant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subject to the terms and conditions set forth in the Grant Notice, this Agreement and the Plan. Unless and until the RSUs have become vested in the manner set forth in </w:t>
      </w:r>
      <w:r>
        <w:rPr>
          <w:rFonts w:ascii="Times New Roman" w:hAnsi="Times New Roman"/>
          <w:sz w:val="20"/>
          <w:u w:val="single"/>
        </w:rPr>
        <w:t>Section 2</w:t>
      </w:r>
      <w:r>
        <w:rPr>
          <w:rFonts w:ascii="Times New Roman" w:hAnsi="Times New Roman"/>
          <w:sz w:val="20"/>
        </w:rPr>
        <w:t xml:space="preserve">, the Participant will have no right to receive any Shares or other payments in respect of the RSUs. Prior to settlement of this Award, the RSUs and this Award represent an unsecured obligation of the Company, payable only from the general assets of the Company.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Vesting of RSUs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set forth in </w:t>
      </w:r>
      <w:r>
        <w:rPr>
          <w:rFonts w:ascii="Times New Roman" w:hAnsi="Times New Roman"/>
          <w:sz w:val="20"/>
          <w:u w:val="single"/>
        </w:rPr>
        <w:t>Sections 2</w:t>
      </w:r>
      <w:r>
        <w:rPr>
          <w:rFonts w:ascii="Times New Roman" w:hAnsi="Times New Roman"/>
          <w:sz w:val="20"/>
        </w:rPr>
        <w:t xml:space="preserve"> and </w:t>
      </w:r>
      <w:r>
        <w:rPr>
          <w:rFonts w:ascii="Times New Roman" w:hAnsi="Times New Roman"/>
          <w:sz w:val="20"/>
          <w:u w:val="single"/>
        </w:rPr>
        <w:t>5</w:t>
      </w:r>
      <w:r>
        <w:rPr>
          <w:rFonts w:ascii="Times New Roman" w:hAnsi="Times New Roman"/>
          <w:sz w:val="20"/>
        </w:rPr>
        <w:t xml:space="preserve">, the RSUs shall vest in accordance with the vesting schedule set forth in the Grant Notice. Upon the Participant’s Termination of Service prior to the vesting of all of the RSUs (but after giving effect to any accelerated vesting pursuant to this </w:t>
      </w:r>
      <w:r>
        <w:rPr>
          <w:rFonts w:ascii="Times New Roman" w:hAnsi="Times New Roman"/>
          <w:sz w:val="20"/>
          <w:u w:val="single"/>
        </w:rPr>
        <w:t>Section 2</w:t>
      </w:r>
      <w:r>
        <w:rPr>
          <w:rFonts w:ascii="Times New Roman" w:hAnsi="Times New Roman"/>
          <w:sz w:val="20"/>
        </w:rPr>
        <w:t xml:space="preserve">), any unvested RSUs (and all rights arising from such RSUs and from being a holder thereof) will terminate automatically without any further action by the Company and will be forfeited without further notice and at no cost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in the Grant Notice, this Agreement or the Plan to the contrary, subject to </w:t>
      </w:r>
      <w:r>
        <w:rPr>
          <w:rFonts w:ascii="Times New Roman" w:hAnsi="Times New Roman"/>
          <w:sz w:val="20"/>
          <w:u w:val="single"/>
        </w:rPr>
        <w:t>Section 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the Participant’s Termination of Service due to the Participant’s death or Disability, all RSUs, if any, that remain unvested shall immediately become vested as of the date of such Termination of Service; and </w:t>
      </w:r>
    </w:p>
    <w:p>
      <w:pPr>
        <w:pStyle w:val="TextBody"/>
        <w:bidi w:val="0"/>
        <w:spacing w:before="120" w:after="0"/>
        <w:jc w:val="left"/>
        <w:rPr>
          <w:rFonts w:ascii="Times New Roman" w:hAnsi="Times New Roman"/>
          <w:sz w:val="20"/>
        </w:rPr>
      </w:pPr>
      <w:r>
        <w:rPr>
          <w:rFonts w:ascii="Times New Roman" w:hAnsi="Times New Roman"/>
          <w:sz w:val="20"/>
        </w:rPr>
        <w:t xml:space="preserve">(ii) upon a Change in Control, (A) if the RSUs are not assumed by the surviving entity in connection with such Change in Control, all RSUs shall immediately become vested as of the date of such Change in Control and (B) if the RSUs are assumed by the surviving entity in connection with such Change in Control, upon the Participant’s Termination of Service by the Company or an Affiliate without Cause or by the Participant for Good Reason during the Change in Control Protection Period, all RSUs shall immediately become vested as of the date of such Termination of Service; </w:t>
      </w:r>
      <w:r>
        <w:rPr>
          <w:rFonts w:ascii="Times New Roman" w:hAnsi="Times New Roman"/>
          <w:i/>
          <w:sz w:val="20"/>
        </w:rPr>
        <w:t>provided</w:t>
      </w:r>
      <w:r>
        <w:rPr>
          <w:rFonts w:ascii="Times New Roman" w:hAnsi="Times New Roman"/>
          <w:sz w:val="20"/>
        </w:rPr>
        <w:t xml:space="preserve">, that such Termination of Service constitutes a “separation of service” within the meaning of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u w:val="single"/>
        </w:rPr>
        <w:t>Change in Control Protection Period</w:t>
      </w:r>
      <w:r>
        <w:rPr>
          <w:rFonts w:ascii="Times New Roman" w:hAnsi="Times New Roman"/>
          <w:sz w:val="20"/>
        </w:rPr>
        <w:t xml:space="preserve">” means, with respect to a Change in Control, the period commencing on the date that such Change in Control is consummated and ending on the date that is 24 months after the date on which such Change in Control is consummated; and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u w:val="single"/>
        </w:rPr>
        <w:t>Good Reason</w:t>
      </w:r>
      <w:r>
        <w:rPr>
          <w:rFonts w:ascii="Times New Roman" w:hAnsi="Times New Roman"/>
          <w:sz w:val="20"/>
        </w:rPr>
        <w:t xml:space="preserve">” means, with respect to the Participant’s Termination of Service, (A) in the case where there is no employment agreement, offer letter, consulting agreement, severance agreement or plan, change in control agreement, or similar agreement or plan in effect between the Company or its Affiliates and the Participant at the time of the Termination of Service (or where there is such an agreement or plan in effect, but it does not define “good reason” (or words of like import)), the occurrence of any of the following events without the written consent of the Participant: (1) a material diminution in the Participant’s base salary or target bonus opportunity other than as part of one or more reductions in base salaries or target bonus opportunities that apply equally to each of the members of the Company’s executive leadership team in substantially the same proportions; (2) a material diminution in the Participant’s authority, duties, responsibilities or reporting relationship with the Company or any Affiliate; or (3) the relocation of the geographic location of the Participant’s principal place of employment by more than 50 miles from the location of the Participant’s principal place of employment as of the Date of Grant; (B) in the case where there is an employment agreement, offer letter, consulting agreement, severance agreement or plan, change in control agreement or similar agreement or plan in effect between the Company or any Affiliate and the Participant at the time of the Termination of Service that defines “good reason” (or words of like import), “good reason” as defined under such agreement or plan. Notwithstanding the foregoing provisions of this definition or any other provision of the Plan to the contrary, any assertion by the Participant of a termination for Good Reason shall not be effective unless all of the following conditions are satisfied: (x) such Participant must provide written notice to the Company of the existence of such condition(s) within 30 days after the initial occurrence of such condition(s); (y) the condition(s) specified in such notice must remain uncorrected for 30 days following the Company’s receipt of such written notice; and (z) the date of such Participant’s termination of employment must occur within 90 days after the initial occurrence of the condition(s) specified in such notice.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Dividend Equivalent Rights</w:t>
      </w:r>
      <w:r>
        <w:rPr>
          <w:rFonts w:ascii="Times New Roman" w:hAnsi="Times New Roman"/>
          <w:sz w:val="20"/>
        </w:rPr>
        <w:t>. In the event that the Company declares and pays a regular cash dividend in respect of its outstanding Shares (which, for clarity, does not include any extraordinary cash dividend), and, on the record date for such dividend, the Participant holds RSUs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RSUs held by the Participant that have not been settled as of such record date (the “</w:t>
      </w:r>
      <w:r>
        <w:rPr>
          <w:rFonts w:ascii="Times New Roman" w:hAnsi="Times New Roman"/>
          <w:b/>
          <w:sz w:val="20"/>
          <w:u w:val="single"/>
        </w:rPr>
        <w:t>Dividend Equivalent Rights</w:t>
      </w:r>
      <w:r>
        <w:rPr>
          <w:rFonts w:ascii="Times New Roman" w:hAnsi="Times New Roman"/>
          <w:sz w:val="20"/>
        </w:rPr>
        <w:t xml:space="preserve">”). The Dividend Equivalent Rights will be subject to the same terms and conditions, including with respect to vesting, forfeiture and transferability, as the underlying RSUs. All amounts, if any, payable in respect of the Dividend Equivalent Rights will be paid to the Participant in cash (or, at the discretion of the Company, in Shares) on or following, but no later than 60 days after, the date the underlying RSU vests. For purposes of clarity, if any of the RSUs are forfeited by the Participant pursuant to the terms of this Agreement, then the Participant shall also forfeit the Dividend Equivalent Rights, if any, accrued with respect to such forfeited RSUs. No interest will accrue on the Dividend Equivalent Rights between the declaration and payment of the applicable dividends and the settlement of the Dividend Equivalent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Settlement of RSUs</w:t>
      </w:r>
      <w:r>
        <w:rPr>
          <w:rFonts w:ascii="Times New Roman" w:hAnsi="Times New Roman"/>
          <w:sz w:val="20"/>
        </w:rPr>
        <w:t xml:space="preserve">. As soon as administratively practicable following the vesting of RSUs pursuant to </w:t>
      </w:r>
      <w:r>
        <w:rPr>
          <w:rFonts w:ascii="Times New Roman" w:hAnsi="Times New Roman"/>
          <w:sz w:val="20"/>
          <w:u w:val="single"/>
        </w:rPr>
        <w:t>Section 2</w:t>
      </w:r>
      <w:r>
        <w:rPr>
          <w:rFonts w:ascii="Times New Roman" w:hAnsi="Times New Roman"/>
          <w:sz w:val="20"/>
        </w:rPr>
        <w:t xml:space="preserve">, but in no event later than 60 days after such vesting date, the Company shall deliver to the Participant a number of Shares equal to the number of RSUs subject to this Award provided, that, the Company reserves the right to settle any RSUs that become vested pursuant to </w:t>
      </w:r>
      <w:r>
        <w:rPr>
          <w:rFonts w:ascii="Times New Roman" w:hAnsi="Times New Roman"/>
          <w:sz w:val="20"/>
          <w:u w:val="single"/>
        </w:rPr>
        <w:t>Section 2</w:t>
      </w:r>
      <w:r>
        <w:rPr>
          <w:rFonts w:ascii="Times New Roman" w:hAnsi="Times New Roman"/>
          <w:sz w:val="20"/>
        </w:rPr>
        <w:t xml:space="preserve"> in cash.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hAnsi="Times New Roman"/>
          <w:sz w:val="20"/>
          <w:u w:val="single"/>
        </w:rPr>
        <w:t>Section 4</w:t>
      </w:r>
      <w:r>
        <w:rPr>
          <w:rFonts w:ascii="Times New Roman" w:hAnsi="Times New Roman"/>
          <w:sz w:val="20"/>
        </w:rPr>
        <w:t xml:space="preserve"> nor any action taken pursuant to or in accordance with this Agreement shall be construed to create a trust or a funded or secured obligation of any kind.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Restrictive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Participant acknowledges and agrees that the grant of the RSUs further aligns the Participant’s interests with the Company’s long-term business interests, and as a condition to the Company’s willingness to enter into this Agreement, the Participant agrees to abide by the terms set forth in </w:t>
      </w:r>
      <w:r>
        <w:rPr>
          <w:rFonts w:ascii="Times New Roman" w:hAnsi="Times New Roman"/>
          <w:sz w:val="20"/>
          <w:u w:val="single"/>
        </w:rPr>
        <w:t>Exhibit B</w:t>
      </w:r>
      <w:r>
        <w:rPr>
          <w:rFonts w:ascii="Times New Roman" w:hAnsi="Times New Roman"/>
          <w:sz w:val="20"/>
        </w:rPr>
        <w:t xml:space="preserve">, which </w:t>
      </w:r>
      <w:r>
        <w:rPr>
          <w:rFonts w:ascii="Times New Roman" w:hAnsi="Times New Roman"/>
          <w:sz w:val="20"/>
          <w:u w:val="single"/>
        </w:rPr>
        <w:t>Exhibit B</w:t>
      </w:r>
      <w:r>
        <w:rPr>
          <w:rFonts w:ascii="Times New Roman" w:hAnsi="Times New Roman"/>
          <w:sz w:val="20"/>
        </w:rPr>
        <w:t xml:space="preserve"> is deemed to be part of this Agreement as if fully set forth herein. The Participant acknowledges and agrees that the Restrictive Covenants are reasonable and enforceable in all respects. By accepting this Award, the Participant agrees to be bound, and promises to abide, by the terms set forth in </w:t>
      </w:r>
      <w:r>
        <w:rPr>
          <w:rFonts w:ascii="Times New Roman" w:hAnsi="Times New Roman"/>
          <w:sz w:val="20"/>
          <w:u w:val="single"/>
        </w:rPr>
        <w:t>Exhibit B</w:t>
      </w:r>
      <w:r>
        <w:rPr>
          <w:rFonts w:ascii="Times New Roman" w:hAnsi="Times New Roman"/>
          <w:sz w:val="20"/>
        </w:rPr>
        <w:t xml:space="preserve"> and expressly acknowledges and affirms that this Award would not be granted to the Participant if the Participant had not agreed to be bound by such provisions.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 provision in this Agreement or the Plan to the contrary, in the event the Committee determines that the Participant has failed to abide by any of the terms set forth in </w:t>
      </w:r>
      <w:r>
        <w:rPr>
          <w:rFonts w:ascii="Times New Roman" w:hAnsi="Times New Roman"/>
          <w:sz w:val="20"/>
          <w:u w:val="single"/>
        </w:rPr>
        <w:t>Exhibit B</w:t>
      </w:r>
      <w:r>
        <w:rPr>
          <w:rFonts w:ascii="Times New Roman" w:hAnsi="Times New Roman"/>
          <w:sz w:val="20"/>
        </w:rPr>
        <w:t xml:space="preserve"> or the provisions of any other confidentiality, non-disclosure, non-competition, non-solicitation, non-disparagement or other restrictive covenants in any other agreement by and between the Company or any Affiliate and the Participant, then, in addition to and without limiting the remedies set forth in </w:t>
      </w:r>
      <w:r>
        <w:rPr>
          <w:rFonts w:ascii="Times New Roman" w:hAnsi="Times New Roman"/>
          <w:sz w:val="20"/>
          <w:u w:val="single"/>
        </w:rPr>
        <w:t>Exhibit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RSUs that have not been settled as of the date of such determination (and all rights arising from such RSUs and from being a holder thereof) will terminate automatically without any further action by the Company and will be forfeited without further notice and at no cost to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 the Participant shall, within 30 days following the Participant’s receipt of a written notice from the Company, pay to the Company a cash amount equal to the Fair Market Value of any Shares previously received by the Participant pursuant to the settlement of the RSUs as of the date of receipt of such Shares.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Tax Withholding</w:t>
      </w:r>
      <w:r>
        <w:rPr>
          <w:rFonts w:ascii="Times New Roman" w:hAnsi="Times New Roman"/>
          <w:sz w:val="20"/>
        </w:rPr>
        <w:t xml:space="preserve">. To the extent that the receipt, vesting or settlement of this Award results in compensation income or wages (including via Dividend Equivalent Rights) to the Participant for federal, state, local and/or foreign tax purposes, the Company shall have the authority to deduct or withhold, or require the Participant to remit to the Company, 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 </w:t>
      </w:r>
    </w:p>
    <w:p>
      <w:pPr>
        <w:pStyle w:val="TextBody"/>
        <w:bidi w:val="0"/>
        <w:spacing w:before="12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Non-Transferability</w:t>
      </w:r>
      <w:r>
        <w:rPr>
          <w:rFonts w:ascii="Times New Roman" w:hAnsi="Times New Roman"/>
          <w:sz w:val="20"/>
        </w:rPr>
        <w:t xml:space="preserve">. During the lifetime of the Participant, the RSUs may not be sold, pledged, assigned or transferred in any manner other 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w:t>
      </w:r>
    </w:p>
    <w:p>
      <w:pPr>
        <w:pStyle w:val="TextBody"/>
        <w:bidi w:val="0"/>
        <w:spacing w:before="12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Compliance with Applicable Law</w:t>
      </w:r>
      <w:r>
        <w:rPr>
          <w:rFonts w:ascii="Times New Roman" w:hAnsi="Times New Roman"/>
          <w:sz w:val="20"/>
        </w:rPr>
        <w:t xml:space="preserve">. Notwithstanding any provision of this Agreement to the contrary, the issuance of Shares hereunder will be subject to compliance with all applicable requirements of Applicable Law.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Rights as a Stockholder</w:t>
      </w:r>
      <w:r>
        <w:rPr>
          <w:rFonts w:ascii="Times New Roman" w:hAnsi="Times New Roman"/>
          <w:sz w:val="20"/>
        </w:rPr>
        <w:t xml:space="preserve">. The Participant shall have no rights as a stockholder of the Company with respect to any Shares 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Execution of Receipts and Releases</w:t>
      </w:r>
      <w:r>
        <w:rPr>
          <w:rFonts w:ascii="Times New Roman" w:hAnsi="Times New Roman"/>
          <w:sz w:val="20"/>
        </w:rPr>
        <w:t xml:space="preserve">. Any issuance or transfer of Shares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hAnsi="Times New Roman"/>
          <w:i/>
          <w:sz w:val="20"/>
        </w:rPr>
        <w:t>provided</w:t>
      </w:r>
      <w:r>
        <w:rPr>
          <w:rFonts w:ascii="Times New Roman" w:hAnsi="Times New Roman"/>
          <w:sz w:val="20"/>
        </w:rPr>
        <w:t xml:space="preserve">, that any review period under such release will not modify the date of settlement with respect to vested RSUs.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No Right to Continued Employment, Service or Awards</w:t>
      </w:r>
      <w:r>
        <w:rPr>
          <w:rFonts w:ascii="Times New Roman" w:hAnsi="Times New Roman"/>
          <w:sz w:val="20"/>
        </w:rPr>
        <w:t xml:space="preserve">. Nothing in the adoption of the Plan, nor the award of the RSUs 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or no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RSUs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Legal and Equitable Remedies</w:t>
      </w:r>
      <w:r>
        <w:rPr>
          <w:rFonts w:ascii="Times New Roman" w:hAnsi="Times New Roman"/>
          <w:sz w:val="20"/>
        </w:rPr>
        <w:t xml:space="preserve">. The Participant acknowledges that a violation or attempted breach of any of the Participant’s covenants and 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covenants and agreements,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 as to recover from the Participant any and all costs and expenses sustained or incurred by the Company or any Affiliate in obtaining such an injunction, including reasonable attorneys’ fees. The parties to this Agreement agree that no bond or other security shall be required in connection with such injunction. Any exercise by either of the parties to this Agreement of its rights pursuant to this </w:t>
      </w:r>
      <w:r>
        <w:rPr>
          <w:rFonts w:ascii="Times New Roman" w:hAnsi="Times New Roman"/>
          <w:sz w:val="20"/>
          <w:u w:val="single"/>
        </w:rPr>
        <w:t>Section 12</w:t>
      </w:r>
      <w:r>
        <w:rPr>
          <w:rFonts w:ascii="Times New Roman" w:hAnsi="Times New Roman"/>
          <w:sz w:val="20"/>
        </w:rPr>
        <w:t xml:space="preserve"> shall be cumulative and in addition to any other remedies to which such party may be entitled.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and other communications under this Agreement shall be in writing and shall be delivered to the parties at the following addresses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unless otherwise designated by the Company in a written notice to the Participant (or other holder): </w:t>
      </w:r>
    </w:p>
    <w:p>
      <w:pPr>
        <w:pStyle w:val="TextBody"/>
        <w:bidi w:val="0"/>
        <w:spacing w:before="24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Attn: Michael Brooks </w:t>
      </w:r>
    </w:p>
    <w:p>
      <w:pPr>
        <w:pStyle w:val="TextBody"/>
        <w:bidi w:val="0"/>
        <w:spacing w:before="0" w:after="0"/>
        <w:jc w:val="left"/>
        <w:rPr>
          <w:rFonts w:ascii="Times New Roman" w:hAnsi="Times New Roman"/>
          <w:sz w:val="20"/>
        </w:rPr>
      </w:pPr>
      <w:r>
        <w:rPr>
          <w:rFonts w:ascii="Times New Roman" w:hAnsi="Times New Roman"/>
          <w:sz w:val="20"/>
        </w:rPr>
        <w:t xml:space="preserve">2400 E Commercial Blvd Ste 1000 </w:t>
      </w:r>
    </w:p>
    <w:p>
      <w:pPr>
        <w:pStyle w:val="TextBody"/>
        <w:bidi w:val="0"/>
        <w:spacing w:before="0" w:after="0"/>
        <w:jc w:val="left"/>
        <w:rPr>
          <w:rFonts w:ascii="Times New Roman" w:hAnsi="Times New Roman"/>
          <w:sz w:val="20"/>
        </w:rPr>
      </w:pPr>
      <w:r>
        <w:rPr>
          <w:rFonts w:ascii="Times New Roman" w:hAnsi="Times New Roman"/>
          <w:sz w:val="20"/>
        </w:rPr>
        <w:t xml:space="preserve">Fort Lauderdale, FL 33308 </w:t>
      </w:r>
    </w:p>
    <w:p>
      <w:pPr>
        <w:pStyle w:val="TextBody"/>
        <w:bidi w:val="0"/>
        <w:spacing w:before="240" w:after="0"/>
        <w:jc w:val="left"/>
        <w:rPr>
          <w:rFonts w:ascii="Times New Roman" w:hAnsi="Times New Roman"/>
          <w:sz w:val="20"/>
        </w:rPr>
      </w:pPr>
      <w:r>
        <w:rPr>
          <w:rFonts w:ascii="Times New Roman" w:hAnsi="Times New Roman"/>
          <w:sz w:val="20"/>
        </w:rPr>
        <w:t xml:space="preserve">If to the Participant, at the Participant’s last known address on file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Consent to Electronic Delivery; Electronic Signature</w:t>
      </w:r>
      <w:r>
        <w:rPr>
          <w:rFonts w:ascii="Times New Roman" w:hAnsi="Times New Roman"/>
          <w:sz w:val="20"/>
        </w:rPr>
        <w:t xml:space="preserve">.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 </w:t>
      </w:r>
    </w:p>
    <w:p>
      <w:pPr>
        <w:pStyle w:val="TextBody"/>
        <w:bidi w:val="0"/>
        <w:spacing w:before="12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Agreement to Furnish Information</w:t>
      </w:r>
      <w:r>
        <w:rPr>
          <w:rFonts w:ascii="Times New Roman" w:hAnsi="Times New Roman"/>
          <w:sz w:val="20"/>
        </w:rPr>
        <w:t xml:space="preserve">. The Participant agrees to furnish to the Company all information requested by the Company to enable it to comply with any reporting or other requirement imposed upon the Company by or under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Entire Agreement; Amendment</w:t>
      </w:r>
      <w:r>
        <w:rPr>
          <w:rFonts w:ascii="Times New Roman" w:hAnsi="Times New Roman"/>
          <w:sz w:val="20"/>
        </w:rPr>
        <w:t xml:space="preserve">. This Agreement constitutes the entire agreement of the parties with regard to the subject matter hereof, and contains all the covenants, promises, representations, warranties and agreements between the parties with respect to the RSUs granted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and (b) the terms of </w:t>
      </w:r>
      <w:r>
        <w:rPr>
          <w:rFonts w:ascii="Times New Roman" w:hAnsi="Times New Roman"/>
          <w:sz w:val="20"/>
          <w:u w:val="single"/>
        </w:rPr>
        <w:t>Exhibit B</w:t>
      </w:r>
      <w:r>
        <w:rPr>
          <w:rFonts w:ascii="Times New Roman" w:hAnsi="Times New Roman"/>
          <w:sz w:val="20"/>
        </w:rPr>
        <w:t xml:space="preserve"> are in addition to and complement (and do not replace or supersede) all other agreements and obligations between the Company or any Affiliate and the Participant with respect to confidentiality, non-disclosure, non-competition, non-solicitation, non-disparagement and other restrictive covenants.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except as otherwise provided in the Plan or this Agreement, any such amendment that materially reduces the rights of the Participant shall be effective only if it is in writing and signed by both the Participant and an authorized officer of the Company.</w:t>
      </w:r>
    </w:p>
    <w:p>
      <w:pPr>
        <w:pStyle w:val="TextBody"/>
        <w:bidi w:val="0"/>
        <w:spacing w:before="12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Severability and Waiver</w:t>
      </w:r>
      <w:r>
        <w:rPr>
          <w:rFonts w:ascii="Times New Roman" w:hAnsi="Times New Roman"/>
          <w:sz w:val="20"/>
        </w:rPr>
        <w:t xml:space="preserve">.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 </w:t>
      </w:r>
    </w:p>
    <w:p>
      <w:pPr>
        <w:pStyle w:val="TextBody"/>
        <w:bidi w:val="0"/>
        <w:spacing w:before="12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Company Recoupment of Awards</w:t>
      </w:r>
      <w:r>
        <w:rPr>
          <w:rFonts w:ascii="Times New Roman" w:hAnsi="Times New Roman"/>
          <w:sz w:val="20"/>
        </w:rPr>
        <w:t xml:space="preserve">. The Participant’s rights with respect to this Award shall in all events be subject to (a) any right that the 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any Company recoupment, clawback or similar policy that may apply to the Participant and this Award, whether adopted before or after the Effective Date or 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 </w:t>
      </w:r>
    </w:p>
    <w:p>
      <w:pPr>
        <w:pStyle w:val="TextBody"/>
        <w:bidi w:val="0"/>
        <w:spacing w:before="12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SHALL BE GOVERNED BY AND CONSTRUED IN ACCORDANCE WITH THE LAWS OF THE STATE OF DELAWARE APPLICABLE TO CONTRACTS MADE AND TO BE PERFORMED THEREIN, EXCLUSIVE OF THE CONFLICT OF LAWS PROVISIONS OF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Headings; References; Interpretation</w:t>
      </w:r>
      <w:r>
        <w:rPr>
          <w:rFonts w:ascii="Times New Roman" w:hAnsi="Times New Roman"/>
          <w:sz w:val="20"/>
        </w:rPr>
        <w:t xml:space="preserve">. Headings are for convenience only and are not deemed to be part of this Agreement. The words “hereof,” “herein” and “hereunder” and words of similar import, when used in this Agreement, shall refer to this Agreement as a whole, including </w:t>
      </w:r>
      <w:r>
        <w:rPr>
          <w:rFonts w:ascii="Times New Roman" w:hAnsi="Times New Roman"/>
          <w:sz w:val="20"/>
          <w:u w:val="single"/>
        </w:rPr>
        <w:t>Exhibit B</w:t>
      </w:r>
      <w:r>
        <w:rPr>
          <w:rFonts w:ascii="Times New Roman" w:hAnsi="Times New Roman"/>
          <w:sz w:val="20"/>
        </w:rPr>
        <w:t xml:space="preserve"> attached hereto, and not to any particular provision of this Agreement. All references herein to Sections and </w:t>
      </w:r>
      <w:r>
        <w:rPr>
          <w:rFonts w:ascii="Times New Roman" w:hAnsi="Times New Roman"/>
          <w:sz w:val="20"/>
          <w:u w:val="single"/>
        </w:rPr>
        <w:t>Exhibit B</w:t>
      </w:r>
      <w:r>
        <w:rPr>
          <w:rFonts w:ascii="Times New Roman" w:hAnsi="Times New Roman"/>
          <w:sz w:val="20"/>
        </w:rPr>
        <w:t xml:space="preserve"> shall, unless the context requires a different construction, be deemed to be references to the Sections and </w:t>
      </w:r>
      <w:r>
        <w:rPr>
          <w:rFonts w:ascii="Times New Roman" w:hAnsi="Times New Roman"/>
          <w:sz w:val="20"/>
          <w:u w:val="single"/>
        </w:rPr>
        <w:t>Exhibit B</w:t>
      </w:r>
      <w:r>
        <w:rPr>
          <w:rFonts w:ascii="Times New Roman" w:hAnsi="Times New Roman"/>
          <w:sz w:val="20"/>
        </w:rPr>
        <w:t xml:space="preserve">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 </w:t>
      </w:r>
    </w:p>
    <w:p>
      <w:pPr>
        <w:pStyle w:val="TextBody"/>
        <w:bidi w:val="0"/>
        <w:spacing w:before="12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or via electronic acceptance in accordance with </w:t>
      </w:r>
      <w:r>
        <w:rPr>
          <w:rFonts w:ascii="Times New Roman" w:hAnsi="Times New Roman"/>
          <w:sz w:val="20"/>
          <w:u w:val="single"/>
        </w:rPr>
        <w:t xml:space="preserve">Section 14 </w:t>
      </w:r>
      <w:r>
        <w:rPr>
          <w:rFonts w:ascii="Times New Roman" w:hAnsi="Times New Roman"/>
          <w:sz w:val="20"/>
        </w:rPr>
        <w:t xml:space="preserve">shall be effective as delivery of a manually executed counterpart of the Grant Notice. </w:t>
      </w:r>
    </w:p>
    <w:p>
      <w:pPr>
        <w:pStyle w:val="TextBody"/>
        <w:bidi w:val="0"/>
        <w:spacing w:before="12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Section 409A</w:t>
      </w:r>
      <w:r>
        <w:rPr>
          <w:rFonts w:ascii="Times New Roman" w:hAnsi="Times New Roman"/>
          <w:sz w:val="20"/>
        </w:rPr>
        <w:t xml:space="preserve">. The Plan, this Agreement and the RSUs are intended to comply with or be exempt from the applicable requirements of Section 409A of the Code and shall be limited, construed, and interpreted in accordance with such intent. Notwithstanding any contrary provision in the Plan or this Agreement, any payment(s) of “nonqualified deferred compensation” (within 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this Agreement) upon expiration of such delay period. Notwithstanding the foregoing, the Company and its Affiliates make no representations that the RSUs provided under this Agreement are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RESTRICTIVE COVENANTS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p>
    <w:p>
      <w:pPr>
        <w:pStyle w:val="TextBody"/>
        <w:bidi w:val="0"/>
        <w:spacing w:before="0" w:after="0"/>
        <w:jc w:val="right"/>
        <w:rPr>
          <w:rFonts w:ascii="Times New Roman" w:hAnsi="Times New Roman"/>
          <w:b/>
          <w:sz w:val="20"/>
        </w:rPr>
      </w:pPr>
      <w:bookmarkStart w:id="21" w:name="d88011dex105.htm"/>
      <w:bookmarkStart w:id="22" w:name="ksd88011dex105"/>
      <w:bookmarkEnd w:id="21"/>
      <w:bookmarkEnd w:id="22"/>
      <w:r>
        <w:rPr>
          <w:rFonts w:ascii="Times New Roman" w:hAnsi="Times New Roman"/>
          <w:b/>
          <w:sz w:val="20"/>
        </w:rPr>
        <w:t xml:space="preserve">Exhibit 10.5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ITG, INC. </w:t>
      </w:r>
    </w:p>
    <w:p>
      <w:pPr>
        <w:pStyle w:val="TextBody"/>
        <w:bidi w:val="0"/>
        <w:spacing w:before="0" w:after="0"/>
        <w:jc w:val="center"/>
        <w:rPr>
          <w:rFonts w:ascii="Times New Roman" w:hAnsi="Times New Roman"/>
          <w:b/>
          <w:sz w:val="20"/>
        </w:rPr>
      </w:pPr>
      <w:r>
        <w:rPr>
          <w:rFonts w:ascii="Times New Roman" w:hAnsi="Times New Roman"/>
          <w:b/>
          <w:sz w:val="20"/>
        </w:rPr>
        <w:t xml:space="preserve">OMNIBUS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PERFORMANCE RESTRICTED STOCK UNIT GRANT NOTICE </w:t>
      </w:r>
    </w:p>
    <w:p>
      <w:pPr>
        <w:pStyle w:val="TextBody"/>
        <w:bidi w:val="0"/>
        <w:spacing w:before="240" w:after="0"/>
        <w:jc w:val="left"/>
        <w:rPr>
          <w:rFonts w:ascii="Times New Roman" w:hAnsi="Times New Roman"/>
          <w:sz w:val="20"/>
        </w:rPr>
      </w:pPr>
      <w:r>
        <w:rPr>
          <w:rFonts w:ascii="Times New Roman" w:hAnsi="Times New Roman"/>
          <w:sz w:val="20"/>
        </w:rPr>
        <w:t>Pursuant to the terms and conditions of the ITG, Inc. Omnibus Incentive Plan, as amended from time to time (the “</w:t>
      </w:r>
      <w:r>
        <w:rPr>
          <w:rFonts w:ascii="Times New Roman" w:hAnsi="Times New Roman"/>
          <w:b/>
          <w:sz w:val="20"/>
          <w:u w:val="single"/>
        </w:rPr>
        <w:t>Plan</w:t>
      </w:r>
      <w:r>
        <w:rPr>
          <w:rFonts w:ascii="Times New Roman" w:hAnsi="Times New Roman"/>
          <w:sz w:val="20"/>
        </w:rPr>
        <w:t>”), ITG, Inc., a Delaware corporation (the “</w:t>
      </w:r>
      <w:r>
        <w:rPr>
          <w:rFonts w:ascii="Times New Roman" w:hAnsi="Times New Roman"/>
          <w:b/>
          <w:sz w:val="20"/>
          <w:u w:val="single"/>
        </w:rPr>
        <w:t>Company</w:t>
      </w:r>
      <w:r>
        <w:rPr>
          <w:rFonts w:ascii="Times New Roman" w:hAnsi="Times New Roman"/>
          <w:sz w:val="20"/>
        </w:rPr>
        <w:t>”), hereby grants to the individual listed below (“</w:t>
      </w:r>
      <w:r>
        <w:rPr>
          <w:rFonts w:ascii="Times New Roman" w:hAnsi="Times New Roman"/>
          <w:b/>
          <w:sz w:val="20"/>
          <w:u w:val="single"/>
        </w:rPr>
        <w:t>you</w:t>
      </w:r>
      <w:r>
        <w:rPr>
          <w:rFonts w:ascii="Times New Roman" w:hAnsi="Times New Roman"/>
          <w:sz w:val="20"/>
        </w:rPr>
        <w:t>” or the “</w:t>
      </w:r>
      <w:r>
        <w:rPr>
          <w:rFonts w:ascii="Times New Roman" w:hAnsi="Times New Roman"/>
          <w:b/>
          <w:sz w:val="20"/>
          <w:u w:val="single"/>
        </w:rPr>
        <w:t>Participant</w:t>
      </w:r>
      <w:r>
        <w:rPr>
          <w:rFonts w:ascii="Times New Roman" w:hAnsi="Times New Roman"/>
          <w:sz w:val="20"/>
        </w:rPr>
        <w:t>”) the number of Performance Restricted Stock Units (the “</w:t>
      </w:r>
      <w:r>
        <w:rPr>
          <w:rFonts w:ascii="Times New Roman" w:hAnsi="Times New Roman"/>
          <w:b/>
          <w:sz w:val="20"/>
          <w:u w:val="single"/>
        </w:rPr>
        <w:t>PSUs</w:t>
      </w:r>
      <w:r>
        <w:rPr>
          <w:rFonts w:ascii="Times New Roman" w:hAnsi="Times New Roman"/>
          <w:sz w:val="20"/>
        </w:rPr>
        <w:t>”) set forth below. This award of PSUs (this “</w:t>
      </w:r>
      <w:r>
        <w:rPr>
          <w:rFonts w:ascii="Times New Roman" w:hAnsi="Times New Roman"/>
          <w:b/>
          <w:sz w:val="20"/>
          <w:u w:val="single"/>
        </w:rPr>
        <w:t>Award</w:t>
      </w:r>
      <w:r>
        <w:rPr>
          <w:rFonts w:ascii="Times New Roman" w:hAnsi="Times New Roman"/>
          <w:sz w:val="20"/>
        </w:rPr>
        <w:t xml:space="preserve">”) is subject to the terms and conditions set forth herein and in the Restricted Stock Unit Agreement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u w:val="single"/>
        </w:rPr>
        <w:t>Agreement</w:t>
      </w:r>
      <w:r>
        <w:rPr>
          <w:rFonts w:ascii="Times New Roman" w:hAnsi="Times New Roman"/>
          <w:sz w:val="20"/>
        </w:rPr>
        <w:t xml:space="preserve">”), the restrictive covenants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u w:val="single"/>
        </w:rPr>
        <w:t>Restrictive Covenants</w:t>
      </w:r>
      <w:r>
        <w:rPr>
          <w:rFonts w:ascii="Times New Roman" w:hAnsi="Times New Roman"/>
          <w:sz w:val="20"/>
          <w:u w:val="single"/>
        </w:rPr>
        <w:t>”</w:t>
      </w:r>
      <w:r>
        <w:rPr>
          <w:rFonts w:ascii="Times New Roman" w:hAnsi="Times New Roman"/>
          <w:sz w:val="20"/>
        </w:rPr>
        <w:t xml:space="preserve">) and the Plan, each of which is incorporated herein by reference. Capitalized terms used but not defined herein shall have the meanings set forth in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2"/>
        <w:gridCol w:w="122"/>
        <w:gridCol w:w="7741"/>
      </w:tblGrid>
      <w:tr>
        <w:trPr/>
        <w:tc>
          <w:tcPr>
            <w:tcW w:w="234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jc w:val="left"/>
              <w:rPr>
                <w:sz w:val="4"/>
                <w:szCs w:val="4"/>
              </w:rPr>
            </w:pPr>
            <w:r>
              <w:rPr>
                <w:sz w:val="4"/>
                <w:szCs w:val="4"/>
              </w:rPr>
            </w:r>
          </w:p>
        </w:tc>
      </w:tr>
      <w:tr>
        <w:trPr/>
        <w:tc>
          <w:tcPr>
            <w:tcW w:w="23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Type of Award:</w:t>
            </w:r>
          </w:p>
        </w:tc>
        <w:tc>
          <w:tcPr>
            <w:tcW w:w="122" w:type="dxa"/>
            <w:tcBorders/>
            <w:vAlign w:val="bottom"/>
          </w:tcPr>
          <w:p>
            <w:pPr>
              <w:pStyle w:val="TableContents"/>
              <w:bidi w:val="0"/>
              <w:spacing w:before="0" w:after="283"/>
              <w:jc w:val="left"/>
              <w:rPr/>
            </w:pPr>
            <w:r>
              <w:rPr/>
              <w:t>  </w:t>
            </w:r>
          </w:p>
        </w:tc>
        <w:tc>
          <w:tcPr>
            <w:tcW w:w="7741" w:type="dxa"/>
            <w:tcBorders/>
            <w:vAlign w:val="bottom"/>
          </w:tcPr>
          <w:p>
            <w:pPr>
              <w:pStyle w:val="TableContents"/>
              <w:bidi w:val="0"/>
              <w:spacing w:before="0" w:after="283"/>
              <w:jc w:val="left"/>
              <w:rPr/>
            </w:pPr>
            <w:r>
              <w:rPr/>
              <w:t>Performance-based Restricted Stock Units</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Participant:</w:t>
            </w:r>
          </w:p>
        </w:tc>
        <w:tc>
          <w:tcPr>
            <w:tcW w:w="122" w:type="dxa"/>
            <w:tcBorders/>
            <w:vAlign w:val="bottom"/>
          </w:tcPr>
          <w:p>
            <w:pPr>
              <w:pStyle w:val="TableContents"/>
              <w:bidi w:val="0"/>
              <w:spacing w:before="0" w:after="283"/>
              <w:jc w:val="left"/>
              <w:rPr/>
            </w:pPr>
            <w:r>
              <w:rPr/>
              <w:t>  </w:t>
            </w:r>
          </w:p>
        </w:tc>
        <w:tc>
          <w:tcPr>
            <w:tcW w:w="7741" w:type="dxa"/>
            <w:tcBorders/>
            <w:vAlign w:val="bottom"/>
          </w:tcPr>
          <w:p>
            <w:pPr>
              <w:pStyle w:val="TableContents"/>
              <w:bidi w:val="0"/>
              <w:spacing w:before="0" w:after="283"/>
              <w:jc w:val="left"/>
              <w:rPr/>
            </w:pPr>
            <w:r>
              <w:rPr/>
              <w:t>[●]</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Date of Grant:</w:t>
            </w:r>
          </w:p>
        </w:tc>
        <w:tc>
          <w:tcPr>
            <w:tcW w:w="122" w:type="dxa"/>
            <w:tcBorders/>
            <w:vAlign w:val="bottom"/>
          </w:tcPr>
          <w:p>
            <w:pPr>
              <w:pStyle w:val="TableContents"/>
              <w:bidi w:val="0"/>
              <w:spacing w:before="0" w:after="283"/>
              <w:jc w:val="left"/>
              <w:rPr/>
            </w:pPr>
            <w:r>
              <w:rPr/>
              <w:t>  </w:t>
            </w:r>
          </w:p>
        </w:tc>
        <w:tc>
          <w:tcPr>
            <w:tcW w:w="7741" w:type="dxa"/>
            <w:tcBorders/>
            <w:vAlign w:val="bottom"/>
          </w:tcPr>
          <w:p>
            <w:pPr>
              <w:pStyle w:val="TableContents"/>
              <w:bidi w:val="0"/>
              <w:spacing w:before="0" w:after="283"/>
              <w:jc w:val="left"/>
              <w:rPr/>
            </w:pPr>
            <w:r>
              <w:rPr/>
              <w:t>[●]</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Target Number of PSUs (“Target PSUs”):</w:t>
            </w:r>
          </w:p>
        </w:tc>
        <w:tc>
          <w:tcPr>
            <w:tcW w:w="122" w:type="dxa"/>
            <w:tcBorders/>
            <w:vAlign w:val="bottom"/>
          </w:tcPr>
          <w:p>
            <w:pPr>
              <w:pStyle w:val="TableContents"/>
              <w:bidi w:val="0"/>
              <w:spacing w:before="0" w:after="283"/>
              <w:jc w:val="left"/>
              <w:rPr/>
            </w:pPr>
            <w:r>
              <w:rPr/>
              <w:t>  </w:t>
            </w:r>
          </w:p>
        </w:tc>
        <w:tc>
          <w:tcPr>
            <w:tcW w:w="7741" w:type="dxa"/>
            <w:tcBorders/>
            <w:vAlign w:val="bottom"/>
          </w:tcPr>
          <w:p>
            <w:pPr>
              <w:pStyle w:val="TableContents"/>
              <w:bidi w:val="0"/>
              <w:spacing w:before="0" w:after="283"/>
              <w:jc w:val="left"/>
              <w:rPr/>
            </w:pPr>
            <w:r>
              <w:rPr/>
              <w:t>[●]</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Performance Period</w:t>
            </w:r>
          </w:p>
        </w:tc>
        <w:tc>
          <w:tcPr>
            <w:tcW w:w="122" w:type="dxa"/>
            <w:tcBorders/>
            <w:vAlign w:val="bottom"/>
          </w:tcPr>
          <w:p>
            <w:pPr>
              <w:pStyle w:val="TableContents"/>
              <w:bidi w:val="0"/>
              <w:spacing w:before="0" w:after="283"/>
              <w:jc w:val="left"/>
              <w:rPr/>
            </w:pPr>
            <w:r>
              <w:rPr/>
              <w:t>  </w:t>
            </w:r>
          </w:p>
        </w:tc>
        <w:tc>
          <w:tcPr>
            <w:tcW w:w="7741" w:type="dxa"/>
            <w:tcBorders/>
            <w:vAlign w:val="bottom"/>
          </w:tcPr>
          <w:p>
            <w:pPr>
              <w:pStyle w:val="TableContents"/>
              <w:bidi w:val="0"/>
              <w:spacing w:before="0" w:after="283"/>
              <w:jc w:val="left"/>
              <w:rPr/>
            </w:pPr>
            <w:r>
              <w:rPr/>
              <w:t>[●]</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Vesting Schedule: </w:t>
            </w:r>
          </w:p>
        </w:tc>
        <w:tc>
          <w:tcPr>
            <w:tcW w:w="122" w:type="dxa"/>
            <w:tcBorders/>
            <w:vAlign w:val="bottom"/>
          </w:tcPr>
          <w:p>
            <w:pPr>
              <w:pStyle w:val="TableContents"/>
              <w:bidi w:val="0"/>
              <w:spacing w:before="0" w:after="283"/>
              <w:jc w:val="left"/>
              <w:rPr/>
            </w:pPr>
            <w:r>
              <w:rPr/>
              <w:t>  </w:t>
            </w:r>
          </w:p>
        </w:tc>
        <w:tc>
          <w:tcPr>
            <w:tcW w:w="7741" w:type="dxa"/>
            <w:tcBorders/>
            <w:vAlign w:val="bottom"/>
          </w:tcPr>
          <w:p>
            <w:pPr>
              <w:pStyle w:val="TableContents"/>
              <w:bidi w:val="0"/>
              <w:spacing w:before="0" w:after="283"/>
              <w:jc w:val="left"/>
              <w:rPr/>
            </w:pPr>
            <w:r>
              <w:rPr/>
              <w:t>Subject to Sections 2 and 5 of the Agreement, the Plan and the other terms and conditions set forth herein, the PSUs shall be earned based on achievement of the performance-vesting conditions set forth on Annex A to the Agreement, so long as you continuously provide services to the Company or an Affiliate from the Date of Grant through the Certification Date.</w:t>
            </w:r>
          </w:p>
        </w:tc>
      </w:tr>
    </w:tbl>
    <w:p>
      <w:pPr>
        <w:pStyle w:val="TextBody"/>
        <w:bidi w:val="0"/>
        <w:spacing w:before="240" w:after="0"/>
        <w:jc w:val="left"/>
        <w:rPr>
          <w:rFonts w:ascii="Times New Roman" w:hAnsi="Times New Roman"/>
          <w:sz w:val="20"/>
        </w:rPr>
      </w:pPr>
      <w:r>
        <w:rPr>
          <w:rFonts w:ascii="Times New Roman" w:hAnsi="Times New Roman"/>
          <w:sz w:val="20"/>
        </w:rPr>
        <w:t>By your signature below, you agree to be bound by the terms and conditions of the Plan, the Agreement and this Performance Restricted Stock Unit Grant Notice (this “</w:t>
      </w:r>
      <w:r>
        <w:rPr>
          <w:rFonts w:ascii="Times New Roman" w:hAnsi="Times New Roman"/>
          <w:b/>
          <w:sz w:val="20"/>
          <w:u w:val="single"/>
        </w:rPr>
        <w:t>Grant Notice</w:t>
      </w:r>
      <w:r>
        <w:rPr>
          <w:rFonts w:ascii="Times New Roman" w:hAnsi="Times New Roman"/>
          <w:sz w:val="20"/>
        </w:rPr>
        <w:t xml:space="preserve">”).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this Grant Notice or the Agreement, if you have not executed and delivered to the Company this Grant Notice within 90 days following the Date of Grant, then this Award will terminate automatically without any further action by the Company and the PSUs will be forfeited without further notice and at no cost to the Company.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Grant Notice to be executed by an officer thereunto duly authorized, and the Participant has executed this Grant Notice, effective for all purposes as provided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ITG,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PARTICIPANT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PERFORMANCE RESTRICTED STOCK UNIT GRANT NOTICE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PERFORMANCE RESTRICTED STOCK UNIT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Performance Restricted Stock Unit Agreement (together with the Grant Notice to which this Agreement is attached and </w:t>
      </w:r>
      <w:r>
        <w:rPr>
          <w:rFonts w:ascii="Times New Roman" w:hAnsi="Times New Roman"/>
          <w:sz w:val="20"/>
          <w:u w:val="single"/>
        </w:rPr>
        <w:t>Exhibit B</w:t>
      </w:r>
      <w:r>
        <w:rPr>
          <w:rFonts w:ascii="Times New Roman" w:hAnsi="Times New Roman"/>
          <w:sz w:val="20"/>
        </w:rPr>
        <w:t>, this “</w:t>
      </w:r>
      <w:r>
        <w:rPr>
          <w:rFonts w:ascii="Times New Roman" w:hAnsi="Times New Roman"/>
          <w:b/>
          <w:sz w:val="20"/>
          <w:u w:val="single"/>
        </w:rPr>
        <w:t>Agreement</w:t>
      </w:r>
      <w:r>
        <w:rPr>
          <w:rFonts w:ascii="Times New Roman" w:hAnsi="Times New Roman"/>
          <w:sz w:val="20"/>
        </w:rPr>
        <w:t>”) is made as of the Date of Grant set forth in the Grant Notice to which this Agreement is attached by and between ITG, Inc., a Delaware corporation (the “</w:t>
      </w:r>
      <w:r>
        <w:rPr>
          <w:rFonts w:ascii="Times New Roman" w:hAnsi="Times New Roman"/>
          <w:b/>
          <w:sz w:val="20"/>
          <w:u w:val="single"/>
        </w:rPr>
        <w:t>Company</w:t>
      </w:r>
      <w:r>
        <w:rPr>
          <w:rFonts w:ascii="Times New Roman" w:hAnsi="Times New Roman"/>
          <w:sz w:val="20"/>
        </w:rPr>
        <w:t>”), and [] (the “</w:t>
      </w:r>
      <w:r>
        <w:rPr>
          <w:rFonts w:ascii="Times New Roman" w:hAnsi="Times New Roman"/>
          <w:b/>
          <w:sz w:val="20"/>
          <w:u w:val="single"/>
        </w:rPr>
        <w:t>Participant</w:t>
      </w:r>
      <w:r>
        <w:rPr>
          <w:rFonts w:ascii="Times New Roman" w:hAnsi="Times New Roman"/>
          <w:sz w:val="20"/>
        </w:rPr>
        <w:t xml:space="preserve">”). Capitalized terms used but not specifically defined herein shall have the meanings specified in the Plan or the Grant Notice.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Award</w:t>
      </w:r>
      <w:r>
        <w:rPr>
          <w:rFonts w:ascii="Times New Roman" w:hAnsi="Times New Roman"/>
          <w:sz w:val="20"/>
        </w:rPr>
        <w:t>. In consideration of the Participant’s past and/or continued employment with, or service to, the Company or an Affiliate and for other good and valuable consideration, the receipt and sufficiency of which is hereby acknowledged, effective as of the Date of Grant set forth in the Grant Notice (the “</w:t>
      </w:r>
      <w:r>
        <w:rPr>
          <w:rFonts w:ascii="Times New Roman" w:hAnsi="Times New Roman"/>
          <w:b/>
          <w:sz w:val="20"/>
          <w:u w:val="single"/>
        </w:rPr>
        <w:t>Date of Grant</w:t>
      </w:r>
      <w:r>
        <w:rPr>
          <w:rFonts w:ascii="Times New Roman" w:hAnsi="Times New Roman"/>
          <w:sz w:val="20"/>
        </w:rPr>
        <w:t xml:space="preserve">”), the Company hereby grants to the Participant the number of PSUs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earned, each PSU represents the right to receive one Share, subject to the terms and conditions set forth in the Grant Notice, this Agreement and the Plan. Unless and until the PSUs have become earned in the manner set forth in </w:t>
      </w:r>
      <w:r>
        <w:rPr>
          <w:rFonts w:ascii="Times New Roman" w:hAnsi="Times New Roman"/>
          <w:sz w:val="20"/>
          <w:u w:val="single"/>
        </w:rPr>
        <w:t>Annex A</w:t>
      </w:r>
      <w:r>
        <w:rPr>
          <w:rFonts w:ascii="Times New Roman" w:hAnsi="Times New Roman"/>
          <w:sz w:val="20"/>
        </w:rPr>
        <w:t xml:space="preserve"> to this Agreement, the Participant will have no right to receive any Shares or other payments in respect of the PSUs. Prior to settlement of this Award, the PSUs and this Award represent an unsecured obligation of the Company, payable only from the general assets of the Company.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Earning PSUs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set forth in </w:t>
      </w:r>
      <w:r>
        <w:rPr>
          <w:rFonts w:ascii="Times New Roman" w:hAnsi="Times New Roman"/>
          <w:sz w:val="20"/>
          <w:u w:val="single"/>
        </w:rPr>
        <w:t>Sections 2</w:t>
      </w:r>
      <w:r>
        <w:rPr>
          <w:rFonts w:ascii="Times New Roman" w:hAnsi="Times New Roman"/>
          <w:sz w:val="20"/>
        </w:rPr>
        <w:t xml:space="preserve"> and </w:t>
      </w:r>
      <w:r>
        <w:rPr>
          <w:rFonts w:ascii="Times New Roman" w:hAnsi="Times New Roman"/>
          <w:sz w:val="20"/>
          <w:u w:val="single"/>
        </w:rPr>
        <w:t>5</w:t>
      </w:r>
      <w:r>
        <w:rPr>
          <w:rFonts w:ascii="Times New Roman" w:hAnsi="Times New Roman"/>
          <w:sz w:val="20"/>
        </w:rPr>
        <w:t xml:space="preserve">, the PSUs shall be earned in accordance with the schedule set forth in </w:t>
      </w:r>
      <w:r>
        <w:rPr>
          <w:rFonts w:ascii="Times New Roman" w:hAnsi="Times New Roman"/>
          <w:sz w:val="20"/>
          <w:u w:val="single"/>
        </w:rPr>
        <w:t>Annex A</w:t>
      </w:r>
      <w:r>
        <w:rPr>
          <w:rFonts w:ascii="Times New Roman" w:hAnsi="Times New Roman"/>
          <w:sz w:val="20"/>
        </w:rPr>
        <w:t xml:space="preserve"> to this Agreement. Upon the Participant’s Termination of Service prior to the date the PSUs are earned (but after giving effect to any accelerated vesting pursuant to this </w:t>
      </w:r>
      <w:r>
        <w:rPr>
          <w:rFonts w:ascii="Times New Roman" w:hAnsi="Times New Roman"/>
          <w:sz w:val="20"/>
          <w:u w:val="single"/>
        </w:rPr>
        <w:t>Section 2</w:t>
      </w:r>
      <w:r>
        <w:rPr>
          <w:rFonts w:ascii="Times New Roman" w:hAnsi="Times New Roman"/>
          <w:sz w:val="20"/>
        </w:rPr>
        <w:t xml:space="preserve">), any unearned PSUs (and all rights arising from such PSUs and from being a holder thereof) will terminate automatically without any further action by the Company and will be forfeited without further notice and at no cost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the Grant Notice, this Agreement or the Plan to the contrary, subject to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upon the Participant’s Termination of Service due to the Participant’s death or Disability, a number of PSUs equal to the Target PSUs shall immediately become earned as of the date of such Termination of Service, and the right to receive any additional PSUs granted under this Agreement will terminate automatically without any further action by the Company and will be forfeited without further notice and at no cost to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a Change in Control, (A) if the PSUs are not assumed by the surviving entity in connection with such Change in Control, a number of PSUs equal to the greater of (1) the Target PSUs and (2) the actual number of PSUs earned pursuant to </w:t>
      </w:r>
      <w:r>
        <w:rPr>
          <w:rFonts w:ascii="Times New Roman" w:hAnsi="Times New Roman"/>
          <w:sz w:val="20"/>
          <w:u w:val="single"/>
        </w:rPr>
        <w:t>Annex A</w:t>
      </w:r>
      <w:r>
        <w:rPr>
          <w:rFonts w:ascii="Times New Roman" w:hAnsi="Times New Roman"/>
          <w:sz w:val="20"/>
        </w:rPr>
        <w:t xml:space="preserve">, where the Change in Control is treated as the end date of the Performance Period, shall immediately become earned as of the date of such Change in Control, and the right to receive any additional PSUs granted under this Agreement will terminate automatically without any further action by the Company and will be forfeited without further notice and at no cost to the Company and (B) if the PSUs are assumed by the surviving entity in connection with such Change in Control, upon the Participant’s Termination of Service by the Company or an Affiliate without Cause or by the Participant for Good Reason during the Change in Control Protection Period, the PSUs shall remain outstanding and a number of PSUs equal to the greater of (1) the Target PSUs and (2) the actual number of PSUs earned pursuant to </w:t>
      </w:r>
      <w:r>
        <w:rPr>
          <w:rFonts w:ascii="Times New Roman" w:hAnsi="Times New Roman"/>
          <w:sz w:val="20"/>
          <w:u w:val="single"/>
        </w:rPr>
        <w:t>Annex A</w:t>
      </w:r>
      <w:r>
        <w:rPr>
          <w:rFonts w:ascii="Times New Roman" w:hAnsi="Times New Roman"/>
          <w:sz w:val="20"/>
        </w:rPr>
        <w:t xml:space="preserve"> of this Agreement shall become earned upon the Certification Date; </w:t>
      </w:r>
      <w:r>
        <w:rPr>
          <w:rFonts w:ascii="Times New Roman" w:hAnsi="Times New Roman"/>
          <w:i/>
          <w:sz w:val="20"/>
        </w:rPr>
        <w:t>provided</w:t>
      </w:r>
      <w:r>
        <w:rPr>
          <w:rFonts w:ascii="Times New Roman" w:hAnsi="Times New Roman"/>
          <w:sz w:val="20"/>
        </w:rPr>
        <w:t xml:space="preserve">, that such Termination of Service constitutes a “separation of service” within the meaning of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u w:val="single"/>
        </w:rPr>
        <w:t>Change in Control Protection Period</w:t>
      </w:r>
      <w:r>
        <w:rPr>
          <w:rFonts w:ascii="Times New Roman" w:hAnsi="Times New Roman"/>
          <w:sz w:val="20"/>
        </w:rPr>
        <w:t xml:space="preserve">” means, with respect to a Change in Control, the period commencing on the date that such Change in Control is consummated and ending on the date that is 24 months after the date on which such Change in Control is consummated; and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b/>
          <w:sz w:val="20"/>
          <w:u w:val="single"/>
        </w:rPr>
        <w:t>Good Reason</w:t>
      </w:r>
      <w:r>
        <w:rPr>
          <w:rFonts w:ascii="Times New Roman" w:hAnsi="Times New Roman"/>
          <w:sz w:val="20"/>
        </w:rPr>
        <w:t xml:space="preserve">” means, with respect to the Participant’s Termination of Service, (A) in the case where there is no employment agreement, offer letter, consulting agreement, severance agreement or plan, change in control agreement, or similar agreement or plan in effect between the Company or its Affiliates and the Participant at the time of the Termination of Service (or where there is such an agreement or plan in effect, but it does not define “good reason” (or words of like import)), the occurrence of any of the following events without the written consent of the Participant: (1) a material diminution in the Participant’s base salary or target bonus opportunity other than as part of one or more reductions in base salaries or target bonus opportunities that apply equally to each of the members of the Company’s executive leadership team in substantially the same proportions; (2) a material diminution in the Participant’s authority, duties, responsibilities or reporting relationship with the Company or any Affiliate; or (3) the relocation of the geographic location of the Participant’s principal place of employment by more than 50 miles from the location of the Participant’s principal place of employment as of the Date of Grant; (B) in the case where there is an employment agreement, offer letter, consulting agreement, severance agreement or plan, change in control agreement or similar agreement or plan in effect between the Company or any Affiliate and the Participant at the time of the Termination of Service that defines “good reason” (or words of like import), “good reason” as defined under such agreement or plan. Notwithstanding the foregoing provisions of this definition or any other provision of the Plan to the contrary, any assertion by the Participant of a termination for Good Reason shall not be effective unless all of the following conditions are satisfied: (x) such Participant must provide written notice to the Company of the existence of such condition(s) within 30 days after the initial occurrence of such condition(s); (y) the condition(s) specified in such notice must remain uncorrected for 30 days following the Company’s receipt of such written notice; and (z) the date of such Participant’s termination of employment must occur within 90 days after the initial occurrence of the condition(s) specified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Dividend Equivalent Rights</w:t>
      </w:r>
      <w:r>
        <w:rPr>
          <w:rFonts w:ascii="Times New Roman" w:hAnsi="Times New Roman"/>
          <w:sz w:val="20"/>
        </w:rPr>
        <w:t>. If the Company declares and pays a regular dividend in respect of its outstanding Shares (which, for clarity, does not include any extraordinary dividend) and, on the record date for such dividend, the Participant holds PSUs granted pursuant to this Agreement that have not been settled, the Company shall record the amount of such dividend (a “</w:t>
      </w:r>
      <w:r>
        <w:rPr>
          <w:rFonts w:ascii="Times New Roman" w:hAnsi="Times New Roman"/>
          <w:b/>
          <w:sz w:val="20"/>
          <w:u w:val="single"/>
        </w:rPr>
        <w:t>Subject Dividend</w:t>
      </w:r>
      <w:r>
        <w:rPr>
          <w:rFonts w:ascii="Times New Roman" w:hAnsi="Times New Roman"/>
          <w:sz w:val="20"/>
        </w:rPr>
        <w:t>”) in a bookkeeping account. Within 60 days after the date on which a PSU is earned, the Company will pay the Participant an amount in cash (or, at the discretion of the Company, in Shares) equal to (a) the aggregate value of the Subject Dividends, multiplied by (b) the number of PSUs that become earned on such date under this Agreement (the “</w:t>
      </w:r>
      <w:r>
        <w:rPr>
          <w:rFonts w:ascii="Times New Roman" w:hAnsi="Times New Roman"/>
          <w:b/>
          <w:sz w:val="20"/>
          <w:u w:val="single"/>
        </w:rPr>
        <w:t>Dividend Equivalent Rights</w:t>
      </w:r>
      <w:r>
        <w:rPr>
          <w:rFonts w:ascii="Times New Roman" w:hAnsi="Times New Roman"/>
          <w:sz w:val="20"/>
        </w:rPr>
        <w:t xml:space="preserve">”). For clarity, if any of the PSUs are forfeited by the Participant pursuant to the terms of this Agreement, then the Participant shall also forfeit all Dividend Equivalent Rights, if any, accrued with respect to such forfeited PSUs. No interest will accrue on the Dividend Equivalent Rights between the declaration and payment of the applicable dividends and the settlement of the Dividend Equivalent Rights.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Settlement of PSUs</w:t>
      </w:r>
      <w:r>
        <w:rPr>
          <w:rFonts w:ascii="Times New Roman" w:hAnsi="Times New Roman"/>
          <w:sz w:val="20"/>
        </w:rPr>
        <w:t xml:space="preserve">. As soon as administratively practicable following the date the PSUs become earned pursuant to </w:t>
      </w:r>
      <w:r>
        <w:rPr>
          <w:rFonts w:ascii="Times New Roman" w:hAnsi="Times New Roman"/>
          <w:sz w:val="20"/>
          <w:u w:val="single"/>
        </w:rPr>
        <w:t>Annex A</w:t>
      </w:r>
      <w:r>
        <w:rPr>
          <w:rFonts w:ascii="Times New Roman" w:hAnsi="Times New Roman"/>
          <w:sz w:val="20"/>
        </w:rPr>
        <w:t xml:space="preserve"> to this Agreement, but in no event later than 60 days after such date, the PSUs will be adjusted to reflect, and the Company shall deliver to the Participant a number of Shares equal to the number of PSUs earned pursuant to this Agreement, provided, that, the Company reserves the right to settle any PSUs that become earned pursuant to </w:t>
      </w:r>
      <w:r>
        <w:rPr>
          <w:rFonts w:ascii="Times New Roman" w:hAnsi="Times New Roman"/>
          <w:sz w:val="20"/>
          <w:u w:val="single"/>
        </w:rPr>
        <w:t>Annex A</w:t>
      </w:r>
      <w:r>
        <w:rPr>
          <w:rFonts w:ascii="Times New Roman" w:hAnsi="Times New Roman"/>
          <w:sz w:val="20"/>
        </w:rPr>
        <w:t xml:space="preserve"> in cash.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hAnsi="Times New Roman"/>
          <w:sz w:val="20"/>
          <w:u w:val="single"/>
        </w:rPr>
        <w:t>Section 4</w:t>
      </w:r>
      <w:r>
        <w:rPr>
          <w:rFonts w:ascii="Times New Roman" w:hAnsi="Times New Roman"/>
          <w:sz w:val="20"/>
        </w:rPr>
        <w:t xml:space="preserve"> nor any action taken pursuant to or in accordance with this Agreement shall be construed to create a trust or a funded or secured obligation of any kind.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Restrictive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Participant acknowledges and agrees that the grant of the PSUs further aligns the Participant’s interests with the Company’s long-term business interests, and as a condition to the Company’s willingness to enter into this Agreement, the Participant agrees to abide by the terms set forth in </w:t>
      </w:r>
      <w:r>
        <w:rPr>
          <w:rFonts w:ascii="Times New Roman" w:hAnsi="Times New Roman"/>
          <w:sz w:val="20"/>
          <w:u w:val="single"/>
        </w:rPr>
        <w:t>Exhibit B</w:t>
      </w:r>
      <w:r>
        <w:rPr>
          <w:rFonts w:ascii="Times New Roman" w:hAnsi="Times New Roman"/>
          <w:sz w:val="20"/>
        </w:rPr>
        <w:t xml:space="preserve">, which </w:t>
      </w:r>
      <w:r>
        <w:rPr>
          <w:rFonts w:ascii="Times New Roman" w:hAnsi="Times New Roman"/>
          <w:sz w:val="20"/>
          <w:u w:val="single"/>
        </w:rPr>
        <w:t>Exhibit B</w:t>
      </w:r>
      <w:r>
        <w:rPr>
          <w:rFonts w:ascii="Times New Roman" w:hAnsi="Times New Roman"/>
          <w:sz w:val="20"/>
        </w:rPr>
        <w:t xml:space="preserve"> is deemed to be part of this Agreement as if fully set forth herein. The Participant acknowledges and agrees that the Restrictive Covenants are reasonable and enforceable in all respects. By accepting this Award, the Participant agrees to be bound, and promises to abide, by the terms set forth in </w:t>
      </w:r>
      <w:r>
        <w:rPr>
          <w:rFonts w:ascii="Times New Roman" w:hAnsi="Times New Roman"/>
          <w:sz w:val="20"/>
          <w:u w:val="single"/>
        </w:rPr>
        <w:t>Exhibit B</w:t>
      </w:r>
      <w:r>
        <w:rPr>
          <w:rFonts w:ascii="Times New Roman" w:hAnsi="Times New Roman"/>
          <w:sz w:val="20"/>
        </w:rPr>
        <w:t xml:space="preserve"> and expressly acknowledges and affirms that this Award would not be granted to the Participant if the Participant had not agreed to be bound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provision in this Agreement or the Plan to the contrary, in the event the Committee determines that the Participant has failed to abide by any of the terms set forth in </w:t>
      </w:r>
      <w:r>
        <w:rPr>
          <w:rFonts w:ascii="Times New Roman" w:hAnsi="Times New Roman"/>
          <w:sz w:val="20"/>
          <w:u w:val="single"/>
        </w:rPr>
        <w:t>Exhibit B</w:t>
      </w:r>
      <w:r>
        <w:rPr>
          <w:rFonts w:ascii="Times New Roman" w:hAnsi="Times New Roman"/>
          <w:sz w:val="20"/>
        </w:rPr>
        <w:t xml:space="preserve"> or the provisions of any other confidentiality, non-disclosure, non-competition, non-solicitation, non-disparagement or other restrictive covenants in any other agreement by and between the Company or any Affiliate and the Participant, then, in addition to and without limiting the remedies set forth in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PSUs that have not been settled as of the date of such determination (and all rights arising from such PSUs and from being a holder thereof) will terminate automatically without any further action by the Company and will be forfeited without further notice and at no cost to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Participant shall, within 30 days following the Participant’s receipt of a written notice from the Company, pay to the Company a cash amount equal to the Fair Market Value of any Shares previously received by the Participant pursuant to the settlement of the PSUs as of the date of receipt of such Shares.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Tax Withholding</w:t>
      </w:r>
      <w:r>
        <w:rPr>
          <w:rFonts w:ascii="Times New Roman" w:hAnsi="Times New Roman"/>
          <w:sz w:val="20"/>
        </w:rPr>
        <w:t xml:space="preserve">. To the extent that the receipt, vesting or settlement of this Award results in compensation income or wages (including via Dividend Equivalent Rights) to the Participant for federal, state, local and/or foreign tax purposes, the Company shall have the authority to deduct or withhold, or require the Participant to remit to the Company, an amount 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Non-Transferability</w:t>
      </w:r>
      <w:r>
        <w:rPr>
          <w:rFonts w:ascii="Times New Roman" w:hAnsi="Times New Roman"/>
          <w:sz w:val="20"/>
        </w:rPr>
        <w:t xml:space="preserve">. During the lifetime of the Participant, the PSUs may not be sold, pledged, assigned or transferred in any manner other than by will or the laws of descent and distribution, unless and until the Shares underlying the PSUs have been issued, and all restrictions applicable to such Shares have lapsed. Neither the PSUs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Compliance with Applicable Law</w:t>
      </w:r>
      <w:r>
        <w:rPr>
          <w:rFonts w:ascii="Times New Roman" w:hAnsi="Times New Roman"/>
          <w:sz w:val="20"/>
        </w:rPr>
        <w:t xml:space="preserve">. Notwithstanding any provision of this Agreement to the contrary, the issuance of Shares hereunder will be subject to compliance with all applicable requirements of Applicable Law.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Rights as a Stockholder</w:t>
      </w:r>
      <w:r>
        <w:rPr>
          <w:rFonts w:ascii="Times New Roman" w:hAnsi="Times New Roman"/>
          <w:sz w:val="20"/>
        </w:rPr>
        <w:t xml:space="preserve">. The Participant shall have no rights as a stockholder of the Company with respect to any Shares 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Execution of Receipts and Releases</w:t>
      </w:r>
      <w:r>
        <w:rPr>
          <w:rFonts w:ascii="Times New Roman" w:hAnsi="Times New Roman"/>
          <w:sz w:val="20"/>
        </w:rPr>
        <w:t xml:space="preserve">. Any issuance or transfer of Shares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hAnsi="Times New Roman"/>
          <w:i/>
          <w:sz w:val="20"/>
        </w:rPr>
        <w:t>provided</w:t>
      </w:r>
      <w:r>
        <w:rPr>
          <w:rFonts w:ascii="Times New Roman" w:hAnsi="Times New Roman"/>
          <w:sz w:val="20"/>
        </w:rPr>
        <w:t xml:space="preserve">, that any review period under such release will not modify the date of settlement with respect to earned PSUs.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No Right to Continued Employment, Service or Awards</w:t>
      </w:r>
      <w:r>
        <w:rPr>
          <w:rFonts w:ascii="Times New Roman" w:hAnsi="Times New Roman"/>
          <w:sz w:val="20"/>
        </w:rPr>
        <w:t xml:space="preserve">. Nothing in the adoption of the Plan, nor the award of the PSUs 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or no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PSUs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Legal and Equitable Remedies</w:t>
      </w:r>
      <w:r>
        <w:rPr>
          <w:rFonts w:ascii="Times New Roman" w:hAnsi="Times New Roman"/>
          <w:sz w:val="20"/>
        </w:rPr>
        <w:t xml:space="preserve">. The Participant acknowledges that a violation or attempted breach of any of the Participant’s covenants and 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covenants and agreements, as well as to recover from the Participant any and all costs and expenses sustained or incurred by the Company or any Affiliate in obtaining such an injunction, including reasonable attorneys’ fees. The parties to this Agreement agree that no bond or other security shall be required in connection with such injunction. Any exercise by either of the parties to this Agreement of its rights pursuant to this </w:t>
      </w:r>
      <w:r>
        <w:rPr>
          <w:rFonts w:ascii="Times New Roman" w:hAnsi="Times New Roman"/>
          <w:sz w:val="20"/>
          <w:u w:val="single"/>
        </w:rPr>
        <w:t>Section 12</w:t>
      </w:r>
      <w:r>
        <w:rPr>
          <w:rFonts w:ascii="Times New Roman" w:hAnsi="Times New Roman"/>
          <w:sz w:val="20"/>
        </w:rPr>
        <w:t xml:space="preserve"> shall be cumulative and in addition to any other remedies to which such party may be entitled.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and other communications under this Agreement shall be in writing and shall be delivered to the parties at the following addresses (or at such other address for a party as shall be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unless otherwise designated by the Company in a written notice to the Participant (or other holder): </w:t>
      </w:r>
    </w:p>
    <w:p>
      <w:pPr>
        <w:pStyle w:val="TextBody"/>
        <w:bidi w:val="0"/>
        <w:spacing w:before="12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Attn: Michael Brooks </w:t>
      </w:r>
    </w:p>
    <w:p>
      <w:pPr>
        <w:pStyle w:val="TextBody"/>
        <w:bidi w:val="0"/>
        <w:spacing w:before="0" w:after="0"/>
        <w:jc w:val="left"/>
        <w:rPr>
          <w:rFonts w:ascii="Times New Roman" w:hAnsi="Times New Roman"/>
          <w:sz w:val="20"/>
        </w:rPr>
      </w:pPr>
      <w:r>
        <w:rPr>
          <w:rFonts w:ascii="Times New Roman" w:hAnsi="Times New Roman"/>
          <w:sz w:val="20"/>
        </w:rPr>
        <w:t xml:space="preserve">2400 E Commercial Blvd Ste 1000 </w:t>
      </w:r>
    </w:p>
    <w:p>
      <w:pPr>
        <w:pStyle w:val="TextBody"/>
        <w:bidi w:val="0"/>
        <w:spacing w:before="0" w:after="0"/>
        <w:jc w:val="left"/>
        <w:rPr>
          <w:rFonts w:ascii="Times New Roman" w:hAnsi="Times New Roman"/>
          <w:sz w:val="20"/>
        </w:rPr>
      </w:pPr>
      <w:r>
        <w:rPr>
          <w:rFonts w:ascii="Times New Roman" w:hAnsi="Times New Roman"/>
          <w:sz w:val="20"/>
        </w:rPr>
        <w:t xml:space="preserve">Fort Lauderdale, FL 33308 </w:t>
      </w:r>
    </w:p>
    <w:p>
      <w:pPr>
        <w:pStyle w:val="TextBody"/>
        <w:bidi w:val="0"/>
        <w:spacing w:before="120" w:after="0"/>
        <w:jc w:val="left"/>
        <w:rPr>
          <w:rFonts w:ascii="Times New Roman" w:hAnsi="Times New Roman"/>
          <w:sz w:val="20"/>
        </w:rPr>
      </w:pPr>
      <w:r>
        <w:rPr>
          <w:rFonts w:ascii="Times New Roman" w:hAnsi="Times New Roman"/>
          <w:sz w:val="20"/>
        </w:rPr>
        <w:t xml:space="preserve">If to the Participant, at the Participant’s last known address on file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Consent to Electronic Delivery; Electronic Signature</w:t>
      </w:r>
      <w:r>
        <w:rPr>
          <w:rFonts w:ascii="Times New Roman" w:hAnsi="Times New Roman"/>
          <w:sz w:val="20"/>
        </w:rPr>
        <w:t xml:space="preserve">.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Agreement to Furnish Information</w:t>
      </w:r>
      <w:r>
        <w:rPr>
          <w:rFonts w:ascii="Times New Roman" w:hAnsi="Times New Roman"/>
          <w:sz w:val="20"/>
        </w:rPr>
        <w:t xml:space="preserve">. The Participant agrees to furnish to the Company all information requested by the Company to enable it to comply with any reporting or other requirement imposed upon the Company by or under any Applicable Law.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Entire Agreement; Amendment</w:t>
      </w:r>
      <w:r>
        <w:rPr>
          <w:rFonts w:ascii="Times New Roman" w:hAnsi="Times New Roman"/>
          <w:sz w:val="20"/>
        </w:rPr>
        <w:t xml:space="preserve">. This Agreement constitutes the entire agreement of the parties with regard to the subject matter hereof, and contains all the covenants, promises, representations, warranties and agreements between the parties with respect to the PSUs granted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and (b) the terms of </w:t>
      </w:r>
      <w:r>
        <w:rPr>
          <w:rFonts w:ascii="Times New Roman" w:hAnsi="Times New Roman"/>
          <w:sz w:val="20"/>
          <w:u w:val="single"/>
        </w:rPr>
        <w:t>Exhibit B</w:t>
      </w:r>
      <w:r>
        <w:rPr>
          <w:rFonts w:ascii="Times New Roman" w:hAnsi="Times New Roman"/>
          <w:sz w:val="20"/>
        </w:rPr>
        <w:t xml:space="preserve"> are in addition to and complement (and do not replace or supersede) all other agreements and obligations between the Company or any Affiliate and the Participant with respect to confidentiality, non-disclosure, non-competition, non-solicitation, non-disparagement and other restrictive covenants.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except as otherwise provided in the Plan or this Agreement, any such amendment that materially reduces the rights of the Participant shall be effective only if it is in writing and signed by both the Participant and an authorized officer of the Company.</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Severability and Waiver</w:t>
      </w:r>
      <w:r>
        <w:rPr>
          <w:rFonts w:ascii="Times New Roman" w:hAnsi="Times New Roman"/>
          <w:sz w:val="20"/>
        </w:rPr>
        <w:t xml:space="preserve">.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Company Recoupment of Awards</w:t>
      </w:r>
      <w:r>
        <w:rPr>
          <w:rFonts w:ascii="Times New Roman" w:hAnsi="Times New Roman"/>
          <w:sz w:val="20"/>
        </w:rPr>
        <w:t xml:space="preserve">. The Participant’s rights with respect to this Award shall in all events be subject to (a) any right that the 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any Company recoupment, clawback or similar policy that may apply to the Participant and this Award, whether adopted before or after the Effective 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SHALL BE GOVERNED BY AND CONSTRUED IN ACCORDANCE WITH THE LAWS OF THE STATE OF DELAWARE APPLICABLE TO CONTRACTS MADE AND TO BE PERFORMED THEREIN, EXCLUSIVE OF THE CONFLICT OF LAWS PROVISIONS OF DELAWARE LAW.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PSUs may be transferred by will or the laws of descent or distribution.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Headings; References; Interpretation</w:t>
      </w:r>
      <w:r>
        <w:rPr>
          <w:rFonts w:ascii="Times New Roman" w:hAnsi="Times New Roman"/>
          <w:sz w:val="20"/>
        </w:rPr>
        <w:t xml:space="preserve">. Headings are for convenience only and are not deemed to be part of this Agreement. The words “hereof,” “herein” and “hereunder” and words of similar import, when used in this Agreement, shall refer to this Agreement as a whole, including </w:t>
      </w:r>
      <w:r>
        <w:rPr>
          <w:rFonts w:ascii="Times New Roman" w:hAnsi="Times New Roman"/>
          <w:sz w:val="20"/>
          <w:u w:val="single"/>
        </w:rPr>
        <w:t>Exhibit B</w:t>
      </w:r>
      <w:r>
        <w:rPr>
          <w:rFonts w:ascii="Times New Roman" w:hAnsi="Times New Roman"/>
          <w:sz w:val="20"/>
        </w:rPr>
        <w:t xml:space="preserve"> attached hereto, and not to any particular provision of this Agreement. All references herein to Sections and </w:t>
      </w:r>
      <w:r>
        <w:rPr>
          <w:rFonts w:ascii="Times New Roman" w:hAnsi="Times New Roman"/>
          <w:sz w:val="20"/>
          <w:u w:val="single"/>
        </w:rPr>
        <w:t>Exhibit B</w:t>
      </w:r>
      <w:r>
        <w:rPr>
          <w:rFonts w:ascii="Times New Roman" w:hAnsi="Times New Roman"/>
          <w:sz w:val="20"/>
        </w:rPr>
        <w:t xml:space="preserve"> shall, unless the context requires a different construction, be deemed to be references to the Sections and </w:t>
      </w:r>
      <w:r>
        <w:rPr>
          <w:rFonts w:ascii="Times New Roman" w:hAnsi="Times New Roman"/>
          <w:sz w:val="20"/>
          <w:u w:val="single"/>
        </w:rPr>
        <w:t>Exhibit B</w:t>
      </w:r>
      <w:r>
        <w:rPr>
          <w:rFonts w:ascii="Times New Roman" w:hAnsi="Times New Roman"/>
          <w:sz w:val="20"/>
        </w:rPr>
        <w:t xml:space="preserve">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or via electronic acceptance in accordance with </w:t>
      </w:r>
      <w:r>
        <w:rPr>
          <w:rFonts w:ascii="Times New Roman" w:hAnsi="Times New Roman"/>
          <w:sz w:val="20"/>
          <w:u w:val="single"/>
        </w:rPr>
        <w:t xml:space="preserve">Section 14 </w:t>
      </w:r>
      <w:r>
        <w:rPr>
          <w:rFonts w:ascii="Times New Roman" w:hAnsi="Times New Roman"/>
          <w:sz w:val="20"/>
        </w:rPr>
        <w:t xml:space="preserve">shall be effective as delivery of a manually executed counterpart of the Grant Notice.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Section 409A</w:t>
      </w:r>
      <w:r>
        <w:rPr>
          <w:rFonts w:ascii="Times New Roman" w:hAnsi="Times New Roman"/>
          <w:sz w:val="20"/>
        </w:rPr>
        <w:t xml:space="preserve">. The Plan, this Agreement and the PSUs are intended to comply with or be exempt from the applicable requirements of Section 409A of the Code and shall be limited, construed, and interpreted in accordance with such intent. Notwithstanding any contrary provision in the Plan or this Agreement, any payment(s) of “nonqualified deferred compensation”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this Agreement) upon expiration of such delay period. Notwithstanding the foregoing, the Company and its Affiliates make no representations that the PSUs provided under this Agreement are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RESTRICTIVE COVENANTS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p>
    <w:p>
      <w:pPr>
        <w:pStyle w:val="TextBody"/>
        <w:bidi w:val="0"/>
        <w:spacing w:before="0" w:after="0"/>
        <w:jc w:val="right"/>
        <w:rPr>
          <w:rFonts w:ascii="Times New Roman" w:hAnsi="Times New Roman"/>
          <w:b/>
          <w:sz w:val="20"/>
        </w:rPr>
      </w:pPr>
      <w:bookmarkStart w:id="23" w:name="d88011dex106.htm"/>
      <w:bookmarkStart w:id="24" w:name="ksd88011dex106"/>
      <w:bookmarkEnd w:id="23"/>
      <w:bookmarkEnd w:id="24"/>
      <w:r>
        <w:rPr>
          <w:rFonts w:ascii="Times New Roman" w:hAnsi="Times New Roman"/>
          <w:b/>
          <w:sz w:val="20"/>
        </w:rPr>
        <w:t xml:space="preserve">Exhibit 10.6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ITG, INC. </w:t>
      </w:r>
    </w:p>
    <w:p>
      <w:pPr>
        <w:pStyle w:val="TextBody"/>
        <w:bidi w:val="0"/>
        <w:spacing w:before="0" w:after="0"/>
        <w:jc w:val="center"/>
        <w:rPr>
          <w:rFonts w:ascii="Times New Roman" w:hAnsi="Times New Roman"/>
          <w:b/>
          <w:sz w:val="20"/>
        </w:rPr>
      </w:pPr>
      <w:r>
        <w:rPr>
          <w:rFonts w:ascii="Times New Roman" w:hAnsi="Times New Roman"/>
          <w:b/>
          <w:sz w:val="20"/>
        </w:rPr>
        <w:t xml:space="preserve">OMNIBUS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GRANT NOTICE </w:t>
      </w:r>
    </w:p>
    <w:p>
      <w:pPr>
        <w:pStyle w:val="TextBody"/>
        <w:bidi w:val="0"/>
        <w:spacing w:before="240" w:after="0"/>
        <w:jc w:val="center"/>
        <w:rPr>
          <w:rFonts w:ascii="Times New Roman" w:hAnsi="Times New Roman"/>
          <w:b/>
          <w:sz w:val="20"/>
        </w:rPr>
      </w:pPr>
      <w:r>
        <w:rPr>
          <w:rFonts w:ascii="Times New Roman" w:hAnsi="Times New Roman"/>
          <w:b/>
          <w:sz w:val="20"/>
        </w:rPr>
        <w:t xml:space="preserve">(Non-Employee Director Award) </w:t>
      </w:r>
    </w:p>
    <w:p>
      <w:pPr>
        <w:pStyle w:val="TextBody"/>
        <w:bidi w:val="0"/>
        <w:spacing w:before="240" w:after="0"/>
        <w:jc w:val="left"/>
        <w:rPr>
          <w:rFonts w:ascii="Times New Roman" w:hAnsi="Times New Roman"/>
          <w:sz w:val="20"/>
        </w:rPr>
      </w:pPr>
      <w:r>
        <w:rPr>
          <w:rFonts w:ascii="Times New Roman" w:hAnsi="Times New Roman"/>
          <w:sz w:val="20"/>
        </w:rPr>
        <w:t>Pursuant to the terms and conditions of the ITG, Inc. Omnibus Incentive Plan, as amended from time to time (the “</w:t>
      </w:r>
      <w:r>
        <w:rPr>
          <w:rFonts w:ascii="Times New Roman" w:hAnsi="Times New Roman"/>
          <w:b/>
          <w:sz w:val="20"/>
          <w:u w:val="single"/>
        </w:rPr>
        <w:t>Plan</w:t>
      </w:r>
      <w:r>
        <w:rPr>
          <w:rFonts w:ascii="Times New Roman" w:hAnsi="Times New Roman"/>
          <w:sz w:val="20"/>
        </w:rPr>
        <w:t>”), ITG, Inc., a Delaware corporation (the “</w:t>
      </w:r>
      <w:r>
        <w:rPr>
          <w:rFonts w:ascii="Times New Roman" w:hAnsi="Times New Roman"/>
          <w:b/>
          <w:sz w:val="20"/>
          <w:u w:val="single"/>
        </w:rPr>
        <w:t>Company</w:t>
      </w:r>
      <w:r>
        <w:rPr>
          <w:rFonts w:ascii="Times New Roman" w:hAnsi="Times New Roman"/>
          <w:sz w:val="20"/>
        </w:rPr>
        <w:t>”), hereby grants to the individual listed below (“</w:t>
      </w:r>
      <w:r>
        <w:rPr>
          <w:rFonts w:ascii="Times New Roman" w:hAnsi="Times New Roman"/>
          <w:b/>
          <w:sz w:val="20"/>
          <w:u w:val="single"/>
        </w:rPr>
        <w:t>you</w:t>
      </w:r>
      <w:r>
        <w:rPr>
          <w:rFonts w:ascii="Times New Roman" w:hAnsi="Times New Roman"/>
          <w:sz w:val="20"/>
        </w:rPr>
        <w:t>” or the “</w:t>
      </w:r>
      <w:r>
        <w:rPr>
          <w:rFonts w:ascii="Times New Roman" w:hAnsi="Times New Roman"/>
          <w:b/>
          <w:sz w:val="20"/>
          <w:u w:val="single"/>
        </w:rPr>
        <w:t>Participant</w:t>
      </w:r>
      <w:r>
        <w:rPr>
          <w:rFonts w:ascii="Times New Roman" w:hAnsi="Times New Roman"/>
          <w:sz w:val="20"/>
        </w:rPr>
        <w:t>”) the number of Restricted Stock Units (the “</w:t>
      </w:r>
      <w:r>
        <w:rPr>
          <w:rFonts w:ascii="Times New Roman" w:hAnsi="Times New Roman"/>
          <w:b/>
          <w:sz w:val="20"/>
          <w:u w:val="single"/>
        </w:rPr>
        <w:t>RSUs</w:t>
      </w:r>
      <w:r>
        <w:rPr>
          <w:rFonts w:ascii="Times New Roman" w:hAnsi="Times New Roman"/>
          <w:sz w:val="20"/>
        </w:rPr>
        <w:t>”) set forth below. This award of RSUs (this “</w:t>
      </w:r>
      <w:r>
        <w:rPr>
          <w:rFonts w:ascii="Times New Roman" w:hAnsi="Times New Roman"/>
          <w:b/>
          <w:sz w:val="20"/>
          <w:u w:val="single"/>
        </w:rPr>
        <w:t>Award</w:t>
      </w:r>
      <w:r>
        <w:rPr>
          <w:rFonts w:ascii="Times New Roman" w:hAnsi="Times New Roman"/>
          <w:sz w:val="20"/>
        </w:rPr>
        <w:t xml:space="preserve">”) is subject to the terms and conditions set forth herein and in the Restricted Stock Unit Agreement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u w:val="single"/>
        </w:rPr>
        <w:t>Agreement</w:t>
      </w:r>
      <w:r>
        <w:rPr>
          <w:rFonts w:ascii="Times New Roman" w:hAnsi="Times New Roman"/>
          <w:sz w:val="20"/>
        </w:rPr>
        <w:t xml:space="preserve">”) and the Plan, each of which is incorporated herein by reference. Capitalized terms used but not defined herein shall have the meanings set forth in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0"/>
        <w:gridCol w:w="101"/>
        <w:gridCol w:w="8064"/>
      </w:tblGrid>
      <w:tr>
        <w:trPr/>
        <w:tc>
          <w:tcPr>
            <w:tcW w:w="20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064"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Type of Award:</w:t>
            </w:r>
          </w:p>
        </w:tc>
        <w:tc>
          <w:tcPr>
            <w:tcW w:w="101" w:type="dxa"/>
            <w:tcBorders/>
            <w:vAlign w:val="bottom"/>
          </w:tcPr>
          <w:p>
            <w:pPr>
              <w:pStyle w:val="TableContents"/>
              <w:bidi w:val="0"/>
              <w:spacing w:before="0" w:after="283"/>
              <w:jc w:val="left"/>
              <w:rPr/>
            </w:pPr>
            <w:r>
              <w:rPr/>
              <w:t> </w:t>
            </w:r>
          </w:p>
        </w:tc>
        <w:tc>
          <w:tcPr>
            <w:tcW w:w="8064" w:type="dxa"/>
            <w:tcBorders/>
          </w:tcPr>
          <w:p>
            <w:pPr>
              <w:pStyle w:val="TableContents"/>
              <w:bidi w:val="0"/>
              <w:spacing w:before="0" w:after="283"/>
              <w:jc w:val="left"/>
              <w:rPr/>
            </w:pPr>
            <w:r>
              <w:rPr/>
              <w:t>Restricted Stock Units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Participant:</w:t>
            </w:r>
          </w:p>
        </w:tc>
        <w:tc>
          <w:tcPr>
            <w:tcW w:w="101" w:type="dxa"/>
            <w:tcBorders/>
            <w:vAlign w:val="bottom"/>
          </w:tcPr>
          <w:p>
            <w:pPr>
              <w:pStyle w:val="TableContents"/>
              <w:bidi w:val="0"/>
              <w:spacing w:before="0" w:after="283"/>
              <w:jc w:val="left"/>
              <w:rPr/>
            </w:pPr>
            <w:r>
              <w:rPr/>
              <w:t> </w:t>
            </w:r>
          </w:p>
        </w:tc>
        <w:tc>
          <w:tcPr>
            <w:tcW w:w="8064" w:type="dxa"/>
            <w:tcBorders/>
          </w:tcPr>
          <w:p>
            <w:pPr>
              <w:pStyle w:val="TableContents"/>
              <w:bidi w:val="0"/>
              <w:spacing w:before="0" w:after="283"/>
              <w:jc w:val="left"/>
              <w:rPr/>
            </w:pPr>
            <w:r>
              <w:rPr/>
              <w: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Date of Grant:</w:t>
            </w:r>
          </w:p>
        </w:tc>
        <w:tc>
          <w:tcPr>
            <w:tcW w:w="101" w:type="dxa"/>
            <w:tcBorders/>
            <w:vAlign w:val="bottom"/>
          </w:tcPr>
          <w:p>
            <w:pPr>
              <w:pStyle w:val="TableContents"/>
              <w:bidi w:val="0"/>
              <w:spacing w:before="0" w:after="283"/>
              <w:jc w:val="left"/>
              <w:rPr/>
            </w:pPr>
            <w:r>
              <w:rPr/>
              <w:t> </w:t>
            </w:r>
          </w:p>
        </w:tc>
        <w:tc>
          <w:tcPr>
            <w:tcW w:w="8064" w:type="dxa"/>
            <w:tcBorders/>
          </w:tcPr>
          <w:p>
            <w:pPr>
              <w:pStyle w:val="TableContents"/>
              <w:bidi w:val="0"/>
              <w:spacing w:before="0" w:after="283"/>
              <w:jc w:val="left"/>
              <w:rPr/>
            </w:pPr>
            <w:r>
              <w:rPr/>
              <w: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Total Number of RSUs:</w:t>
            </w:r>
          </w:p>
        </w:tc>
        <w:tc>
          <w:tcPr>
            <w:tcW w:w="101" w:type="dxa"/>
            <w:tcBorders/>
            <w:vAlign w:val="bottom"/>
          </w:tcPr>
          <w:p>
            <w:pPr>
              <w:pStyle w:val="TableContents"/>
              <w:bidi w:val="0"/>
              <w:spacing w:before="0" w:after="283"/>
              <w:jc w:val="left"/>
              <w:rPr/>
            </w:pPr>
            <w:r>
              <w:rPr/>
              <w:t> </w:t>
            </w:r>
          </w:p>
        </w:tc>
        <w:tc>
          <w:tcPr>
            <w:tcW w:w="8064" w:type="dxa"/>
            <w:tcBorders/>
          </w:tcPr>
          <w:p>
            <w:pPr>
              <w:pStyle w:val="TableContents"/>
              <w:bidi w:val="0"/>
              <w:spacing w:before="0" w:after="283"/>
              <w:jc w:val="left"/>
              <w:rPr/>
            </w:pPr>
            <w:r>
              <w:rPr/>
              <w: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 xml:space="preserve">Vesting Schedule: </w:t>
            </w:r>
          </w:p>
        </w:tc>
        <w:tc>
          <w:tcPr>
            <w:tcW w:w="101" w:type="dxa"/>
            <w:tcBorders/>
            <w:vAlign w:val="bottom"/>
          </w:tcPr>
          <w:p>
            <w:pPr>
              <w:pStyle w:val="TableContents"/>
              <w:bidi w:val="0"/>
              <w:spacing w:before="0" w:after="283"/>
              <w:jc w:val="left"/>
              <w:rPr/>
            </w:pPr>
            <w:r>
              <w:rPr/>
              <w:t> </w:t>
            </w:r>
          </w:p>
        </w:tc>
        <w:tc>
          <w:tcPr>
            <w:tcW w:w="8064"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By your signature below, you agree to be bound by the terms and conditions of the Plan, the Agreement, and this Restricted Stock Unit Grant Notice (this “</w:t>
      </w:r>
      <w:r>
        <w:rPr>
          <w:rFonts w:ascii="Times New Roman" w:hAnsi="Times New Roman"/>
          <w:b/>
          <w:sz w:val="20"/>
          <w:u w:val="single"/>
        </w:rPr>
        <w:t>Grant Notice</w:t>
      </w:r>
      <w:r>
        <w:rPr>
          <w:rFonts w:ascii="Times New Roman" w:hAnsi="Times New Roman"/>
          <w:sz w:val="20"/>
        </w:rPr>
        <w:t xml:space="preserve">”).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provision of this Grant Notice or the Agreement, if you have not executed this Grant Notice within 90 days following the Date of Grant set forth above, you will be deemed to have accepted this Award, subject to all of the terms and conditions of this Grant Notice, the Agreement and the Plan.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Grant Notice to be executed by an officer thereunto duly authorized, and the Participant has executed this Grant Notice, effective for all purposes as provided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ITG,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PARTICIPANT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RESTRICTED STOCK UNIT GRANT NOTICE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left"/>
        <w:rPr>
          <w:rFonts w:ascii="Times New Roman" w:hAnsi="Times New Roman"/>
          <w:sz w:val="20"/>
        </w:rPr>
      </w:pPr>
      <w:r>
        <w:rPr>
          <w:rFonts w:ascii="Times New Roman" w:hAnsi="Times New Roman"/>
          <w:sz w:val="20"/>
        </w:rPr>
        <w:t>This Restricted Stock Unit Agreement (together with the Grant Notice to which this Agreement is attached, this “</w:t>
      </w:r>
      <w:r>
        <w:rPr>
          <w:rFonts w:ascii="Times New Roman" w:hAnsi="Times New Roman"/>
          <w:b/>
          <w:sz w:val="20"/>
          <w:u w:val="single"/>
        </w:rPr>
        <w:t>Agreement</w:t>
      </w:r>
      <w:r>
        <w:rPr>
          <w:rFonts w:ascii="Times New Roman" w:hAnsi="Times New Roman"/>
          <w:sz w:val="20"/>
        </w:rPr>
        <w:t>”) is made as of the Date of Grant set forth in the Grant Notice to which this Agreement is attached by and between ITG, Inc., a Delaware corporation (the “</w:t>
      </w:r>
      <w:r>
        <w:rPr>
          <w:rFonts w:ascii="Times New Roman" w:hAnsi="Times New Roman"/>
          <w:b/>
          <w:sz w:val="20"/>
          <w:u w:val="single"/>
        </w:rPr>
        <w:t>Company</w:t>
      </w:r>
      <w:r>
        <w:rPr>
          <w:rFonts w:ascii="Times New Roman" w:hAnsi="Times New Roman"/>
          <w:sz w:val="20"/>
        </w:rPr>
        <w:t>”), and [●] (the “</w:t>
      </w:r>
      <w:r>
        <w:rPr>
          <w:rFonts w:ascii="Times New Roman" w:hAnsi="Times New Roman"/>
          <w:b/>
          <w:sz w:val="20"/>
          <w:u w:val="single"/>
        </w:rPr>
        <w:t>Participant</w:t>
      </w:r>
      <w:r>
        <w:rPr>
          <w:rFonts w:ascii="Times New Roman" w:hAnsi="Times New Roman"/>
          <w:sz w:val="20"/>
        </w:rPr>
        <w:t xml:space="preserve">”). Capitalized terms used but not specifically defined herein shall have the meanings specified in the Plan or the Grant Notice.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Award</w:t>
      </w:r>
      <w:r>
        <w:rPr>
          <w:rFonts w:ascii="Times New Roman" w:hAnsi="Times New Roman"/>
          <w:sz w:val="20"/>
        </w:rPr>
        <w:t>. In consideration of the Participant’s past and/or continued employment with, or service to, the Company or an Affiliate and for other good and valuable consideration, the receipt and sufficiency of which is hereby acknowledged, effective as of the Date of Grant set forth in the Grant Notice (the “</w:t>
      </w:r>
      <w:r>
        <w:rPr>
          <w:rFonts w:ascii="Times New Roman" w:hAnsi="Times New Roman"/>
          <w:b/>
          <w:sz w:val="20"/>
          <w:u w:val="single"/>
        </w:rPr>
        <w:t>Date of Grant</w:t>
      </w:r>
      <w:r>
        <w:rPr>
          <w:rFonts w:ascii="Times New Roman" w:hAnsi="Times New Roman"/>
          <w:sz w:val="20"/>
        </w:rPr>
        <w:t xml:space="preserve">”), the Company hereby grants to the Participant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subject to the terms and conditions set forth in the Grant Notice, this Agreement and the Plan. Unless and until the RSUs have become vested in the manner set forth in </w:t>
      </w:r>
      <w:r>
        <w:rPr>
          <w:rFonts w:ascii="Times New Roman" w:hAnsi="Times New Roman"/>
          <w:sz w:val="20"/>
          <w:u w:val="single"/>
        </w:rPr>
        <w:t>Section 2</w:t>
      </w:r>
      <w:r>
        <w:rPr>
          <w:rFonts w:ascii="Times New Roman" w:hAnsi="Times New Roman"/>
          <w:sz w:val="20"/>
        </w:rPr>
        <w:t xml:space="preserve">, the Participant will have no right to receive any Shares or other payments in respect of the RSUs. Prior to settlement of this Award, the RSUs and this Award represent an unsecured obligation of the Company, payable only from the general assets of the Company.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Vesting of RSUs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set forth in </w:t>
      </w:r>
      <w:r>
        <w:rPr>
          <w:rFonts w:ascii="Times New Roman" w:hAnsi="Times New Roman"/>
          <w:sz w:val="20"/>
          <w:u w:val="single"/>
        </w:rPr>
        <w:t>Section 2(b)</w:t>
      </w:r>
      <w:r>
        <w:rPr>
          <w:rFonts w:ascii="Times New Roman" w:hAnsi="Times New Roman"/>
          <w:sz w:val="20"/>
        </w:rPr>
        <w:t xml:space="preserve">, the RSUs shall vest in accordance with the vesting schedule set forth in the Grant Notice. Upon the Participant’s Termination of Service prior to the vesting of all of the RSUs, any unvested RSUs (and all rights arising from such RSUs and from being a holder thereof) will terminate automatically without any further action by the Company and will be forfeited without further notice and at no cost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in the Grant Notice, this Agreement or the Plan to the contrary, the RSUs shall immediately become fully vested upon (i) the Participant’s Termination of Service due to the Participant’s death or Disability, or (ii) a Change in Control, in each case, so long as the Participant continuously provides services to the Company or an Affiliate from the Date of Grant through such event.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Dividend Equivalent Rights</w:t>
      </w:r>
      <w:r>
        <w:rPr>
          <w:rFonts w:ascii="Times New Roman" w:hAnsi="Times New Roman"/>
          <w:sz w:val="20"/>
        </w:rPr>
        <w:t>. In the event that the Company declares and pays a regular cash dividend in respect of its outstanding Shares (which, for clarity, does not include any extraordinary cash dividend), and, on the record date for such dividend, the Participant holds RSUs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RSUs held by the Participant that have not been settled as of such record date (the “</w:t>
      </w:r>
      <w:r>
        <w:rPr>
          <w:rFonts w:ascii="Times New Roman" w:hAnsi="Times New Roman"/>
          <w:b/>
          <w:sz w:val="20"/>
          <w:u w:val="single"/>
        </w:rPr>
        <w:t>Dividend Equivalent Rights</w:t>
      </w:r>
      <w:r>
        <w:rPr>
          <w:rFonts w:ascii="Times New Roman" w:hAnsi="Times New Roman"/>
          <w:sz w:val="20"/>
        </w:rPr>
        <w:t xml:space="preserve">”). The Dividend Equivalent Rights will be subject to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and conditions, including with respect to vesting, forfeiture and transferability, as the underlying RSUs. All amounts, if any, payable in respect of the Dividend Equivalent Rights will be paid to the Participant in cash (or, at the discretion of the Company, in Shares) on or following, but no later than 60 days after, the date the underlying RSU vests. For purposes of clarity, if any of the RSUs are forfeited by the Participant pursuant to the terms of this Agreement, then the Participant shall also forfeit the Dividend Equivalent Rights, if any, accrued with respect to such forfeited RSUs. No interest will accrue on the Dividend Equivalent Rights between the declaration and payment of the applicable dividends and the settlement of the Dividend Equivalent Rights.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Settlement of RSUs</w:t>
      </w:r>
      <w:r>
        <w:rPr>
          <w:rFonts w:ascii="Times New Roman" w:hAnsi="Times New Roman"/>
          <w:sz w:val="20"/>
        </w:rPr>
        <w:t xml:space="preserve">. As soon as administratively practicable following the vesting of RSUs pursuant to </w:t>
      </w:r>
      <w:r>
        <w:rPr>
          <w:rFonts w:ascii="Times New Roman" w:hAnsi="Times New Roman"/>
          <w:sz w:val="20"/>
          <w:u w:val="single"/>
        </w:rPr>
        <w:t>Section 2</w:t>
      </w:r>
      <w:r>
        <w:rPr>
          <w:rFonts w:ascii="Times New Roman" w:hAnsi="Times New Roman"/>
          <w:sz w:val="20"/>
        </w:rPr>
        <w:t xml:space="preserve">, but in no event later than 60 days after such vesting date, the Company shall deliver to the Participant a number of Shares equal to the number of RSUs subject to this Award.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hAnsi="Times New Roman"/>
          <w:sz w:val="20"/>
          <w:u w:val="single"/>
        </w:rPr>
        <w:t>Section 4</w:t>
      </w:r>
      <w:r>
        <w:rPr>
          <w:rFonts w:ascii="Times New Roman" w:hAnsi="Times New Roman"/>
          <w:sz w:val="20"/>
        </w:rPr>
        <w:t xml:space="preserve"> nor any action taken pursuant to or in accordance with this Agreement shall be construed to create a trust or a funded or secured obligation of any kind.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Tax Withholding</w:t>
      </w:r>
      <w:r>
        <w:rPr>
          <w:rFonts w:ascii="Times New Roman" w:hAnsi="Times New Roman"/>
          <w:sz w:val="20"/>
        </w:rPr>
        <w:t xml:space="preserve">. To the extent that the receipt, vesting or settlement of this Award results in compensation income or wages (including via Dividend Equivalent Rights) to the Participant for federal, state, local and/or foreign tax purposes, the Company shall have the authority to deduct or withhold, or require the Participant to remit to the Company, an amount 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Non-Transferability</w:t>
      </w:r>
      <w:r>
        <w:rPr>
          <w:rFonts w:ascii="Times New Roman" w:hAnsi="Times New Roman"/>
          <w:sz w:val="20"/>
        </w:rPr>
        <w:t xml:space="preserve">. During the lifetime of the Participant, the RSUs may not be sold, pledged, assigned or transferred in any manner other 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Compliance with Applicable Law</w:t>
      </w:r>
      <w:r>
        <w:rPr>
          <w:rFonts w:ascii="Times New Roman" w:hAnsi="Times New Roman"/>
          <w:sz w:val="20"/>
        </w:rPr>
        <w:t xml:space="preserve">. Notwithstanding any provision of this Agreement to the contrary, the issuance of Shares hereunder will be subject to compliance with all applicable requirements of Applicable Law.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Rights as a Stockholder</w:t>
      </w:r>
      <w:r>
        <w:rPr>
          <w:rFonts w:ascii="Times New Roman" w:hAnsi="Times New Roman"/>
          <w:sz w:val="20"/>
        </w:rPr>
        <w:t xml:space="preserve">. The Participant shall have no rights as a stockholder of the Company with respect to any Shares 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Execution of Receipts and Releases</w:t>
      </w:r>
      <w:r>
        <w:rPr>
          <w:rFonts w:ascii="Times New Roman" w:hAnsi="Times New Roman"/>
          <w:sz w:val="20"/>
        </w:rPr>
        <w:t xml:space="preserve">. Any issuance or transfer of Shares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hAnsi="Times New Roman"/>
          <w:i/>
          <w:sz w:val="20"/>
        </w:rPr>
        <w:t>provided</w:t>
      </w:r>
      <w:r>
        <w:rPr>
          <w:rFonts w:ascii="Times New Roman" w:hAnsi="Times New Roman"/>
          <w:sz w:val="20"/>
        </w:rPr>
        <w:t xml:space="preserve">, that any review period under such release will not modify the date of settlement with respect to vested RSUs.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No Right to Continued Employment, Service or Awards</w:t>
      </w:r>
      <w:r>
        <w:rPr>
          <w:rFonts w:ascii="Times New Roman" w:hAnsi="Times New Roman"/>
          <w:sz w:val="20"/>
        </w:rPr>
        <w:t xml:space="preserve">. Nothing in the adoption of the Plan, nor the award of the RSUs 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or no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RSUs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and other communications under this Agreement shall be in writing and shall be delivered to the parties at the following addresses (or at such other address for a party as shall be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unless otherwise designated by the Company in a written notice to the Participant (or other holder): </w:t>
      </w:r>
    </w:p>
    <w:p>
      <w:pPr>
        <w:pStyle w:val="TextBody"/>
        <w:bidi w:val="0"/>
        <w:spacing w:before="12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Attn: Michael Brooks </w:t>
      </w:r>
    </w:p>
    <w:p>
      <w:pPr>
        <w:pStyle w:val="TextBody"/>
        <w:bidi w:val="0"/>
        <w:spacing w:before="0" w:after="0"/>
        <w:jc w:val="left"/>
        <w:rPr>
          <w:rFonts w:ascii="Times New Roman" w:hAnsi="Times New Roman"/>
          <w:sz w:val="20"/>
        </w:rPr>
      </w:pPr>
      <w:r>
        <w:rPr>
          <w:rFonts w:ascii="Times New Roman" w:hAnsi="Times New Roman"/>
          <w:sz w:val="20"/>
        </w:rPr>
        <w:t xml:space="preserve">2400 E Commercial Blvd Ste 1000 </w:t>
      </w:r>
    </w:p>
    <w:p>
      <w:pPr>
        <w:pStyle w:val="TextBody"/>
        <w:bidi w:val="0"/>
        <w:spacing w:before="0" w:after="0"/>
        <w:jc w:val="left"/>
        <w:rPr>
          <w:rFonts w:ascii="Times New Roman" w:hAnsi="Times New Roman"/>
          <w:sz w:val="20"/>
        </w:rPr>
      </w:pPr>
      <w:r>
        <w:rPr>
          <w:rFonts w:ascii="Times New Roman" w:hAnsi="Times New Roman"/>
          <w:sz w:val="20"/>
        </w:rPr>
        <w:t xml:space="preserve">Fort Lauderdale, FL 33308 </w:t>
      </w:r>
    </w:p>
    <w:p>
      <w:pPr>
        <w:pStyle w:val="TextBody"/>
        <w:bidi w:val="0"/>
        <w:spacing w:before="120" w:after="0"/>
        <w:jc w:val="left"/>
        <w:rPr>
          <w:rFonts w:ascii="Times New Roman" w:hAnsi="Times New Roman"/>
          <w:sz w:val="20"/>
        </w:rPr>
      </w:pPr>
      <w:r>
        <w:rPr>
          <w:rFonts w:ascii="Times New Roman" w:hAnsi="Times New Roman"/>
          <w:sz w:val="20"/>
        </w:rPr>
        <w:t xml:space="preserve">If to the Participant, at the Participant’s last known address on file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Consent to Electronic Delivery; Electronic Signature</w:t>
      </w:r>
      <w:r>
        <w:rPr>
          <w:rFonts w:ascii="Times New Roman" w:hAnsi="Times New Roman"/>
          <w:sz w:val="20"/>
        </w:rPr>
        <w:t xml:space="preserve">.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Agreement to Furnish Information</w:t>
      </w:r>
      <w:r>
        <w:rPr>
          <w:rFonts w:ascii="Times New Roman" w:hAnsi="Times New Roman"/>
          <w:sz w:val="20"/>
        </w:rPr>
        <w:t xml:space="preserve">. The Participant agrees to furnish to the Company all information requested by the Company to enable it to comply with any reporting or other requirement imposed upon the Company by or under any Applicable Law.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Entire Agreement; Amendment</w:t>
      </w:r>
      <w:r>
        <w:rPr>
          <w:rFonts w:ascii="Times New Roman" w:hAnsi="Times New Roman"/>
          <w:sz w:val="20"/>
        </w:rPr>
        <w:t xml:space="preserve">. This Agreement constitutes the entire agreement of the parties with regard to the subject matter hereof, and contains all the covenants, promises, representations, warranties and agreements between the parties with respect to the RSUs granted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except as otherwise provided in the Plan or this Agreement, any such amendment that materially reduces the rights of the Participant shall be effective only if it is in writing and signed by both the Participant and an authorized officer of the Company.</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Severability and Waiver</w:t>
      </w:r>
      <w:r>
        <w:rPr>
          <w:rFonts w:ascii="Times New Roman" w:hAnsi="Times New Roman"/>
          <w:sz w:val="20"/>
        </w:rPr>
        <w:t xml:space="preserve">.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Company Recoupment of Awards</w:t>
      </w:r>
      <w:r>
        <w:rPr>
          <w:rFonts w:ascii="Times New Roman" w:hAnsi="Times New Roman"/>
          <w:sz w:val="20"/>
        </w:rPr>
        <w:t xml:space="preserve">. The Participant’s rights with respect to this Award shall in all events be subject to (a) any right that the 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any Company recoupment, clawback or similar policy that may apply to the Participant and this Award, whether adopted before or after the 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SHALL BE GOVERNED BY AND CONSTRUED IN ACCORDANCE WITH THE LAWS OF THE STATE OF DELAWARE APPLICABLE TO CONTRACTS MADE AND TO BE PERFORMED THEREIN, EXCLUSIVE OF THE CONFLICT OF LAWS PROVISIONS OF DELAWARE LAW.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Headings; References; Interpretation</w:t>
      </w:r>
      <w:r>
        <w:rPr>
          <w:rFonts w:ascii="Times New Roman" w:hAnsi="Times New Roman"/>
          <w:sz w:val="20"/>
        </w:rPr>
        <w:t xml:space="preserve">. Headings are for convenience only and are not deemed to be part of this Agreement. The words “hereof,”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or via electronic acceptance in accordance with </w:t>
      </w:r>
      <w:r>
        <w:rPr>
          <w:rFonts w:ascii="Times New Roman" w:hAnsi="Times New Roman"/>
          <w:sz w:val="20"/>
          <w:u w:val="single"/>
        </w:rPr>
        <w:t xml:space="preserve">Section 14 </w:t>
      </w:r>
      <w:r>
        <w:rPr>
          <w:rFonts w:ascii="Times New Roman" w:hAnsi="Times New Roman"/>
          <w:sz w:val="20"/>
        </w:rPr>
        <w:t xml:space="preserve">shall be effective as delivery of a manually executed counterpart of the Grant Notice.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Section 409A</w:t>
      </w:r>
      <w:r>
        <w:rPr>
          <w:rFonts w:ascii="Times New Roman" w:hAnsi="Times New Roman"/>
          <w:sz w:val="20"/>
        </w:rPr>
        <w:t xml:space="preserve">. The Plan, this Agreement and the RSUs are intended to comply with or be exempt from the applicable requirements of Section 409A of the Code and shall be limited, construed, and interpreted in accordance with such intent. Notwithstanding any contrary provision in the Plan or this Agreement, any payment(s) of “nonqualified deferred compensation” (within 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 months following such separation from service (or, if earlier, until the date of death of the specified employee) and shall instead be paid (in a manner set forth in this Agreement) upon expiration of such delay period. Notwithstanding the foregoing, the Company and its Affiliates make no representations that the RSUs provided under this Agreement are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10117/000119312526259828/d103576dex107.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321</Pages>
  <Words>158299</Words>
  <Characters>826913</Characters>
  <CharactersWithSpaces>985771</CharactersWithSpaces>
  <Paragraphs>4619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EX-10.6</dc:title>
</cp:coreProperties>
</file>