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LAPERCH WILLIAM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2400 E COMMERCIAL BLVD STE 1000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LAUDERDALE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ITG, Inc./DE/</w:t>
              </w:r>
            </w:hyperlink>
            <w:r>
              <w:rPr/>
              <w:t xml:space="preserve"> [ </w:t>
            </w:r>
            <w:r>
              <w:rPr>
                <w:rFonts w:ascii="Times;serif" w:hAnsi="Times;serif"/>
                <w:color w:val="0000FF"/>
                <w:sz w:val="24"/>
                <w:shd w:fill="FFFFFF" w:val="clear"/>
              </w:rPr>
              <w:t>ITG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4"/>
        <w:gridCol w:w="906"/>
        <w:gridCol w:w="775"/>
        <w:gridCol w:w="602"/>
        <w:gridCol w:w="353"/>
        <w:gridCol w:w="902"/>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7,500</w:t>
            </w:r>
            <w:r>
              <w:rPr>
                <w:rFonts w:ascii="Times;serif" w:hAnsi="Times;serif"/>
                <w:color w:val="008000"/>
                <w:position w:val="7"/>
                <w:sz w:val="16"/>
                <w:sz w:val="20"/>
                <w:shd w:fill="FFFFFF" w:val="clear"/>
              </w:rPr>
              <w:t>(1)</w:t>
            </w:r>
            <w:r>
              <w:rPr/>
              <w:t xml:space="preserve"> </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to the Reporting Person. Each RSU represents a contingent right to receive one share of Class A common stock upon vesting. The RSUs shall vest in full on the earlier of (i) the day immediately preceding the date of the first annual meeting of the Issuer's stockholders following the date of grant and (ii) the one-year anniversary of the date of grant, in each case, subject to the Reporting Person's continued service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H. Mecray, as attorney-in-fact for William G. LaPerch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3157" TargetMode="External"/><Relationship Id="rId5" Type="http://schemas.openxmlformats.org/officeDocument/2006/relationships/hyperlink" Target="http://www.sec.gov/cgi-bin/browse-edgar?action=getcompany&amp;CIK=00021101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3495</Characters>
  <CharactersWithSpaces>4088</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