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Petre Dylan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ITG, Inc./DE/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ITG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2400 E COMMERCIAL BLVD STE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8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FORT</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FL</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33308</w:t>
            </w:r>
          </w:p>
        </w:tc>
        <w:tc>
          <w:tcPr>
            <w:tcW w:w="0" w:type="dxa"/>
            <w:vAlign w:val="bottom"/>
          </w:tcPr>
          <w:p>
            <w:pPr>
              <w:spacing w:after="0"/>
              <w:rPr>
                <w:sz w:val="1"/>
                <w:szCs w:val="1"/>
                <w:color w:val="auto"/>
              </w:rPr>
            </w:pPr>
          </w:p>
        </w:tc>
      </w:tr>
      <w:tr>
        <w:trPr>
          <w:trHeight w:val="254"/>
        </w:trPr>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LAUDERDALE</w:t>
            </w:r>
          </w:p>
        </w:tc>
        <w:tc>
          <w:tcPr>
            <w:tcW w:w="56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Christopher H. Mecray,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163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as attorney-in-fact for</w:t>
      </w:r>
      <w:r>
        <w:rPr>
          <w:sz w:val="20"/>
          <w:szCs w:val="20"/>
          <w:color w:val="auto"/>
        </w:rPr>
        <w:tab/>
      </w:r>
      <w:r>
        <w:rPr>
          <w:rFonts w:ascii="Times New Roman" w:cs="Times New Roman" w:eastAsia="Times New Roman" w:hAnsi="Times New Roman"/>
          <w:sz w:val="18"/>
          <w:szCs w:val="18"/>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Dylan G. Petre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397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977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13 &amp; 16 REPORTING OBLIGATIONS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July 1, 2026</w:t>
      </w:r>
    </w:p>
    <w:p>
      <w:pPr>
        <w:spacing w:after="0" w:line="220" w:lineRule="exact"/>
        <w:rPr>
          <w:sz w:val="20"/>
          <w:szCs w:val="20"/>
          <w:color w:val="auto"/>
        </w:rPr>
      </w:pPr>
    </w:p>
    <w:p>
      <w:pPr>
        <w:jc w:val="both"/>
        <w:ind w:firstLine="85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Christopher H. Mecray and Danielle Elias, signing singly, as the undersigned’s true and lawful attorney-in-fact and agent, with full power and authority, including substitution and revocation, as hereinafter described on behalf of and in the name, place and stead of the undersigned to:</w:t>
      </w:r>
    </w:p>
    <w:p>
      <w:pPr>
        <w:spacing w:after="0" w:line="200" w:lineRule="exact"/>
        <w:rPr>
          <w:sz w:val="20"/>
          <w:szCs w:val="20"/>
          <w:color w:val="auto"/>
        </w:rPr>
      </w:pPr>
    </w:p>
    <w:p>
      <w:pPr>
        <w:jc w:val="both"/>
        <w:ind w:left="720" w:hanging="341"/>
        <w:spacing w:after="0" w:line="250"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ITG, Inc., a Delaware corporation, or any successor thereto (the “Company”), with the U.S. Securities and Exchange Commission, any national securities exchanges and the Company, as considered necessary or advisable under Section 16(a) of the Exchange Act and the rules and regulations promulgated thereunder, as amended from time to time under the Exchange Act as well as notices on Form 144 and amendments thereto, filed pursuant to Rule 144 promulgated under the Securities Act of 1933, as amended (the “Securities Act”);</w:t>
      </w:r>
    </w:p>
    <w:p>
      <w:pPr>
        <w:spacing w:after="0" w:line="1" w:lineRule="exact"/>
        <w:rPr>
          <w:rFonts w:ascii="Times New Roman" w:cs="Times New Roman" w:eastAsia="Times New Roman" w:hAnsi="Times New Roman"/>
          <w:sz w:val="22"/>
          <w:szCs w:val="22"/>
          <w:color w:val="4D4D4F"/>
        </w:rPr>
      </w:pPr>
    </w:p>
    <w:p>
      <w:pPr>
        <w:jc w:val="both"/>
        <w:ind w:left="720" w:hanging="341"/>
        <w:spacing w:after="0" w:line="248"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 w:lineRule="exact"/>
        <w:rPr>
          <w:rFonts w:ascii="Times New Roman" w:cs="Times New Roman" w:eastAsia="Times New Roman" w:hAnsi="Times New Roman"/>
          <w:sz w:val="22"/>
          <w:szCs w:val="22"/>
          <w:color w:val="4D4D4F"/>
        </w:rPr>
      </w:pPr>
    </w:p>
    <w:p>
      <w:pPr>
        <w:ind w:left="720" w:hanging="341"/>
        <w:spacing w:after="0" w:line="252"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perform any and all other acts which in the discretion of such attorney-in-fact is necessary or desirable for and on behalf of the undersigned in connection with the foregoing.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65" w:lineRule="exact"/>
        <w:rPr>
          <w:sz w:val="20"/>
          <w:szCs w:val="20"/>
          <w:color w:val="auto"/>
        </w:rPr>
      </w:pPr>
    </w:p>
    <w:p>
      <w:pPr>
        <w:ind w:left="720" w:hanging="341"/>
        <w:spacing w:after="0" w:line="248"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this Power of Attorney authorizes, but does not require, such attorney-in-fact to act in his or her discretion on information provided to such attorney-in-fact without independent verification of such information;</w:t>
      </w:r>
    </w:p>
    <w:p>
      <w:pPr>
        <w:spacing w:after="0" w:line="1" w:lineRule="exact"/>
        <w:rPr>
          <w:rFonts w:ascii="Times New Roman" w:cs="Times New Roman" w:eastAsia="Times New Roman" w:hAnsi="Times New Roman"/>
          <w:sz w:val="22"/>
          <w:szCs w:val="22"/>
          <w:color w:val="4D4D4F"/>
        </w:rPr>
      </w:pPr>
    </w:p>
    <w:p>
      <w:pPr>
        <w:jc w:val="both"/>
        <w:ind w:left="720" w:hanging="341"/>
        <w:spacing w:after="0" w:line="247"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pacing w:after="0" w:line="1" w:lineRule="exact"/>
        <w:rPr>
          <w:rFonts w:ascii="Times New Roman" w:cs="Times New Roman" w:eastAsia="Times New Roman" w:hAnsi="Times New Roman"/>
          <w:sz w:val="22"/>
          <w:szCs w:val="22"/>
          <w:color w:val="4D4D4F"/>
        </w:rPr>
      </w:pPr>
    </w:p>
    <w:p>
      <w:pPr>
        <w:jc w:val="both"/>
        <w:ind w:left="720" w:hanging="341"/>
        <w:spacing w:after="0" w:line="248"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requirements of the Exchange Act, or the Securities Act, as applicable (ii) any liability of the undersigned for any failure to comply with such requirements, (iii) any obligation or liability of the undersigned for profit disgorgement under Section 16(b) of the Exchange Act, or (iv) any liability for failure to quality for the safe harbor Rule 144; and</w:t>
      </w:r>
    </w:p>
    <w:p>
      <w:pPr>
        <w:spacing w:after="0" w:line="1" w:lineRule="exact"/>
        <w:rPr>
          <w:rFonts w:ascii="Times New Roman" w:cs="Times New Roman" w:eastAsia="Times New Roman" w:hAnsi="Times New Roman"/>
          <w:sz w:val="22"/>
          <w:szCs w:val="22"/>
          <w:color w:val="4D4D4F"/>
        </w:rPr>
      </w:pPr>
    </w:p>
    <w:p>
      <w:pPr>
        <w:jc w:val="both"/>
        <w:ind w:left="720" w:hanging="341"/>
        <w:spacing w:after="0" w:line="251"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or Securities Act, as applicable, including without limitation the reporting requirements under Section 13 and/or Section 16 of the Exchange Act.</w:t>
      </w:r>
    </w:p>
    <w:p>
      <w:pPr>
        <w:spacing w:after="0" w:line="180" w:lineRule="exact"/>
        <w:rPr>
          <w:sz w:val="20"/>
          <w:szCs w:val="20"/>
          <w:color w:val="auto"/>
        </w:rPr>
      </w:pPr>
    </w:p>
    <w:p>
      <w:pPr>
        <w:jc w:val="both"/>
        <w:ind w:firstLine="850"/>
        <w:spacing w:after="0" w:line="261"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85" w:lineRule="exact"/>
        <w:rPr>
          <w:sz w:val="20"/>
          <w:szCs w:val="20"/>
          <w:color w:val="auto"/>
        </w:rPr>
      </w:pPr>
    </w:p>
    <w:p>
      <w:pPr>
        <w:jc w:val="both"/>
        <w:ind w:firstLine="85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such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1686560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date first written above.</w:t>
      </w:r>
    </w:p>
    <w:p>
      <w:pPr>
        <w:spacing w:after="0" w:line="262" w:lineRule="exact"/>
        <w:rPr>
          <w:sz w:val="20"/>
          <w:szCs w:val="20"/>
          <w:color w:val="auto"/>
        </w:rPr>
      </w:pPr>
    </w:p>
    <w:p>
      <w:pPr>
        <w:ind w:left="5800"/>
        <w:spacing w:after="0"/>
        <w:tabs>
          <w:tab w:leader="none" w:pos="6240" w:val="left"/>
        </w:tabs>
        <w:rPr>
          <w:sz w:val="20"/>
          <w:szCs w:val="20"/>
          <w:color w:val="auto"/>
        </w:rPr>
      </w:pPr>
      <w:r>
        <w:rPr>
          <w:rFonts w:ascii="Times New Roman" w:cs="Times New Roman" w:eastAsia="Times New Roman" w:hAnsi="Times New Roman"/>
          <w:sz w:val="20"/>
          <w:szCs w:val="20"/>
          <w:color w:val="auto"/>
        </w:rPr>
        <w:t>By:</w:t>
        <w:tab/>
        <w:t>/s/ Dylan G. Petre</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Dylan G. Petre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-145415</wp:posOffset>
            </wp:positionV>
            <wp:extent cx="29730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3070" cy="952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1308735</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180"/>
      </w:cols>
      <w:pgMar w:left="480" w:top="144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2136465" TargetMode="External"/><Relationship Id="rId11" Type="http://schemas.openxmlformats.org/officeDocument/2006/relationships/hyperlink" Target="http://www.sec.gov/cgi-bin/browse-edgar?action=getcompany&amp;CIK=000211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2026-07-01T19:53:59Z</dcterms:created>
  <dcterms:modified xsi:type="dcterms:W3CDTF">2026-07-01T19:53:59Z</dcterms:modified>
</cp:coreProperties>
</file>