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ITG, Inc./DE/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Ophir Asset Management Pty Ltd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AUSTRALIA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3,599,006.00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3,599,006.00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3,599,006.00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7.9 %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The reporting persons ownership consists of 3,599,006 shares of Class A Common Stock. The beneficial ownership percentage calculation is based upon 45,862,242 shares of Class A Common Stock outstanding as reported by the Issuer on Form 8-K filed with the SEC. Ophir Asset Management Pty Ltd, as the General Partner of Ophir Global Opportunities Fund, Ophir Global High Conviction Fund, may be deemed the beneficial owner of the shares held by Ophir Global High Conviction Fund.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2"/>
        <w:gridCol w:w="9078"/>
        <w:gridCol w:w="155"/>
      </w:tblGrid>
      <w:tr>
        <w:trPr/>
        <w:tc>
          <w:tcPr>
            <w:tcW w:w="972" w:type="dxa"/>
            <w:tcBorders/>
            <w:vAlign w:val="center"/>
          </w:tcPr>
          <w:p>
            <w:pPr>
              <w:pStyle w:val="TableContents"/>
              <w:bidi w:val="0"/>
              <w:spacing w:before="0" w:after="283"/>
              <w:jc w:val="left"/>
              <w:rPr/>
            </w:pPr>
            <w:r>
              <w:rPr/>
              <w:t>Item 1.</w:t>
            </w:r>
          </w:p>
        </w:tc>
        <w:tc>
          <w:tcPr>
            <w:tcW w:w="90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issuer: </w:t>
            </w:r>
          </w:p>
          <w:p>
            <w:pPr>
              <w:pStyle w:val="TableContents"/>
              <w:bidi w:val="0"/>
              <w:spacing w:before="0" w:after="0"/>
              <w:jc w:val="left"/>
              <w:rPr/>
            </w:pPr>
            <w:r>
              <w:rPr/>
              <w:t>ITG, Inc./DE/</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2400 E COMMERCIAL BLVD, STE. 1000, FORT LAUDERDALE, FLORIDA, 33308.</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2.</w:t>
            </w:r>
          </w:p>
        </w:tc>
        <w:tc>
          <w:tcPr>
            <w:tcW w:w="907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Name of person filing: </w:t>
            </w:r>
          </w:p>
          <w:p>
            <w:pPr>
              <w:pStyle w:val="TableContents"/>
              <w:bidi w:val="0"/>
              <w:spacing w:before="0" w:after="0"/>
              <w:jc w:val="left"/>
              <w:rPr/>
            </w:pPr>
            <w:r>
              <w:rPr/>
              <w:t>Ophir Asset Management Pty Ltd</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Level 27, Governor Philip Tower, One Farrer Place, Sydney, NSW 2000</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jc w:val="left"/>
              <w:rPr/>
            </w:pPr>
            <w:r>
              <w:rPr/>
              <w:t xml:space="preserve">Citizenship: </w:t>
            </w:r>
          </w:p>
          <w:p>
            <w:pPr>
              <w:pStyle w:val="TableContents"/>
              <w:bidi w:val="0"/>
              <w:spacing w:before="0" w:after="0"/>
              <w:jc w:val="left"/>
              <w:rPr/>
            </w:pPr>
            <w:r>
              <w:rPr/>
              <w:t>Australian</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(d)</w:t>
            </w:r>
          </w:p>
        </w:tc>
        <w:tc>
          <w:tcPr>
            <w:tcW w:w="90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(e)</w:t>
            </w:r>
          </w:p>
        </w:tc>
        <w:tc>
          <w:tcPr>
            <w:tcW w:w="907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3.</w:t>
            </w:r>
          </w:p>
        </w:tc>
        <w:tc>
          <w:tcPr>
            <w:tcW w:w="907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(d)</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(e)</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(f)</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(g)</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(h)</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(j)</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(k)</w:t>
            </w:r>
          </w:p>
        </w:tc>
        <w:tc>
          <w:tcPr>
            <w:tcW w:w="907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233" w:type="dxa"/>
            <w:gridSpan w:val="2"/>
            <w:tcBorders/>
            <w:vAlign w:val="center"/>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4.</w:t>
            </w:r>
          </w:p>
        </w:tc>
        <w:tc>
          <w:tcPr>
            <w:tcW w:w="907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(a)</w:t>
            </w:r>
          </w:p>
        </w:tc>
        <w:tc>
          <w:tcPr>
            <w:tcW w:w="907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Ophir Global Opportunities Fund - 1,731,170 Class A Common Stock Shares Ophir Global High Conviction Fund - 1,867,836 Class A Common Stock Shares</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(b)</w:t>
            </w:r>
          </w:p>
        </w:tc>
        <w:tc>
          <w:tcPr>
            <w:tcW w:w="907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Ophir Global Opportunities Fund - 3.77 Ophir Global High Conviction Fund - 4.07   %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(c)</w:t>
            </w:r>
          </w:p>
        </w:tc>
        <w:tc>
          <w:tcPr>
            <w:tcW w:w="907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Ophir Asset Management Pty Ltd - 3,599,006 Class A Common Stock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Ophir Asset Management Pty Ltd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Ophir Asset Management Pty Ltd - 3,599,006 Class A Common Stock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Ophir Asset Management Pty Ltd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5.</w:t>
            </w:r>
          </w:p>
        </w:tc>
        <w:tc>
          <w:tcPr>
            <w:tcW w:w="907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6.</w:t>
            </w:r>
          </w:p>
        </w:tc>
        <w:tc>
          <w:tcPr>
            <w:tcW w:w="907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7.</w:t>
            </w:r>
          </w:p>
        </w:tc>
        <w:tc>
          <w:tcPr>
            <w:tcW w:w="907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8.</w:t>
            </w:r>
          </w:p>
        </w:tc>
        <w:tc>
          <w:tcPr>
            <w:tcW w:w="907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Item 9.</w:t>
            </w:r>
          </w:p>
        </w:tc>
        <w:tc>
          <w:tcPr>
            <w:tcW w:w="907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2" w:type="dxa"/>
            <w:tcBorders/>
            <w:vAlign w:val="center"/>
          </w:tcPr>
          <w:p>
            <w:pPr>
              <w:pStyle w:val="TableContents"/>
              <w:bidi w:val="0"/>
              <w:spacing w:before="0" w:after="283"/>
              <w:jc w:val="left"/>
              <w:rPr/>
            </w:pPr>
            <w:r>
              <w:rPr/>
              <w:t> </w:t>
            </w:r>
          </w:p>
        </w:tc>
        <w:tc>
          <w:tcPr>
            <w:tcW w:w="907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Ophir Asset Management Pty Ltd</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5"/>
        <w:gridCol w:w="4260"/>
      </w:tblGrid>
      <w:tr>
        <w:trPr/>
        <w:tc>
          <w:tcPr>
            <w:tcW w:w="59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Sandra Donnaruma</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Chief Compliance Officer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07/20/2026</w:t>
                  </w:r>
                </w:p>
              </w:tc>
            </w:tr>
          </w:tbl>
          <w:p>
            <w:pPr>
              <w:pStyle w:val="TableContents"/>
              <w:bidi w:val="0"/>
              <w:spacing w:before="0" w:after="283"/>
              <w:jc w:val="left"/>
              <w:rPr/>
            </w:pPr>
            <w:r>
              <w:rPr/>
            </w:r>
          </w:p>
        </w:tc>
        <w:tc>
          <w:tcPr>
            <w:tcW w:w="42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878</Words>
  <Characters>4520</Characters>
  <CharactersWithSpaces>5392</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