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63178ds8.htm"/>
      <w:bookmarkStart w:id="1" w:name="ksd63178ds8"/>
      <w:bookmarkEnd w:id="0"/>
      <w:bookmarkEnd w:id="1"/>
      <w:r>
        <w:rPr>
          <w:rFonts w:ascii="Times New Roman" w:hAnsi="Times New Roman"/>
          <w:b/>
          <w:sz w:val="20"/>
        </w:rPr>
        <w:t xml:space="preserve">As Filed with the Securities and Exchange Commission on July 2, 2026 </w:t>
      </w:r>
    </w:p>
    <w:p>
      <w:pPr>
        <w:pStyle w:val="TextBody"/>
        <w:bidi w:val="0"/>
        <w:spacing w:before="0" w:after="0"/>
        <w:jc w:val="right"/>
        <w:rPr>
          <w:rFonts w:ascii="Times New Roman" w:hAnsi="Times New Roman"/>
          <w:b/>
          <w:sz w:val="20"/>
        </w:rPr>
      </w:pPr>
      <w:r>
        <w:rPr>
          <w:rFonts w:ascii="Times New Roman" w:hAnsi="Times New Roman"/>
          <w:b/>
          <w:sz w:val="20"/>
        </w:rPr>
        <w:t>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ITG,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30-1479306</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5"/>
        <w:gridCol w:w="101"/>
        <w:gridCol w:w="4949"/>
      </w:tblGrid>
      <w:tr>
        <w:trPr/>
        <w:tc>
          <w:tcPr>
            <w:tcW w:w="5155"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5" w:type="dxa"/>
            <w:tcBorders/>
          </w:tcPr>
          <w:p>
            <w:pPr>
              <w:pStyle w:val="TableContents"/>
              <w:bidi w:val="0"/>
              <w:spacing w:before="0" w:after="283"/>
              <w:jc w:val="center"/>
              <w:rPr>
                <w:b/>
              </w:rPr>
            </w:pPr>
            <w:r>
              <w:rPr>
                <w:b/>
              </w:rPr>
              <w:t>2400 E Commercial Blvd Ste 1000</w:t>
              <w:br/>
              <w:t>Fort Lauderdale, FL</w:t>
            </w:r>
          </w:p>
        </w:tc>
        <w:tc>
          <w:tcPr>
            <w:tcW w:w="101"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283"/>
              <w:jc w:val="center"/>
              <w:rPr>
                <w:b/>
              </w:rPr>
            </w:pPr>
            <w:r>
              <w:rPr>
                <w:b/>
              </w:rPr>
              <w:t>33308</w:t>
            </w:r>
          </w:p>
        </w:tc>
      </w:tr>
      <w:tr>
        <w:trPr/>
        <w:tc>
          <w:tcPr>
            <w:tcW w:w="5155" w:type="dxa"/>
            <w:tcBorders/>
          </w:tcPr>
          <w:p>
            <w:pPr>
              <w:pStyle w:val="TableContents"/>
              <w:bidi w:val="0"/>
              <w:spacing w:before="0" w:after="283"/>
              <w:jc w:val="center"/>
              <w:rPr>
                <w:b/>
              </w:rPr>
            </w:pPr>
            <w:r>
              <w:rPr>
                <w:b/>
              </w:rPr>
              <w:t>(Address of Principal Executive Offices)</w:t>
            </w:r>
          </w:p>
        </w:tc>
        <w:tc>
          <w:tcPr>
            <w:tcW w:w="101"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ITG, Inc. Omnibus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Andrew D. Parrott </w:t>
      </w:r>
    </w:p>
    <w:p>
      <w:pPr>
        <w:pStyle w:val="TextBody"/>
        <w:bidi w:val="0"/>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2400 E Commercial Blvd Ste 1000 </w:t>
      </w:r>
    </w:p>
    <w:p>
      <w:pPr>
        <w:pStyle w:val="TextBody"/>
        <w:bidi w:val="0"/>
        <w:spacing w:before="0" w:after="0"/>
        <w:jc w:val="center"/>
        <w:rPr>
          <w:rFonts w:ascii="Times New Roman" w:hAnsi="Times New Roman"/>
          <w:b/>
          <w:sz w:val="20"/>
        </w:rPr>
      </w:pPr>
      <w:r>
        <w:rPr>
          <w:rFonts w:ascii="Times New Roman" w:hAnsi="Times New Roman"/>
          <w:b/>
          <w:sz w:val="20"/>
        </w:rPr>
        <w:t xml:space="preserve">Fort Lauderdale, FL 33308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(615) 447-5347</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With copies to: </w:t>
      </w:r>
    </w:p>
    <w:p>
      <w:pPr>
        <w:pStyle w:val="TextBody"/>
        <w:bidi w:val="0"/>
        <w:spacing w:before="120" w:after="0"/>
        <w:jc w:val="center"/>
        <w:rPr>
          <w:rFonts w:ascii="Times New Roman" w:hAnsi="Times New Roman"/>
          <w:b/>
          <w:sz w:val="20"/>
        </w:rPr>
      </w:pPr>
      <w:r>
        <w:rPr>
          <w:rFonts w:ascii="Times New Roman" w:hAnsi="Times New Roman"/>
          <w:b/>
          <w:sz w:val="20"/>
        </w:rPr>
        <w:t xml:space="preserve">Joshua N. Korff, P.C. </w:t>
      </w:r>
    </w:p>
    <w:p>
      <w:pPr>
        <w:pStyle w:val="TextBody"/>
        <w:bidi w:val="0"/>
        <w:spacing w:before="0" w:after="0"/>
        <w:jc w:val="center"/>
        <w:rPr>
          <w:rFonts w:ascii="Times New Roman" w:hAnsi="Times New Roman"/>
          <w:b/>
          <w:sz w:val="20"/>
        </w:rPr>
      </w:pPr>
      <w:r>
        <w:rPr>
          <w:rFonts w:ascii="Times New Roman" w:hAnsi="Times New Roman"/>
          <w:b/>
          <w:sz w:val="20"/>
        </w:rPr>
        <w:t xml:space="preserve">Michael Kim, P.C. </w:t>
      </w:r>
    </w:p>
    <w:p>
      <w:pPr>
        <w:pStyle w:val="TextBody"/>
        <w:bidi w:val="0"/>
        <w:spacing w:before="0" w:after="0"/>
        <w:jc w:val="center"/>
        <w:rPr>
          <w:rFonts w:ascii="Times New Roman" w:hAnsi="Times New Roman"/>
          <w:b/>
          <w:sz w:val="20"/>
        </w:rPr>
      </w:pPr>
      <w:r>
        <w:rPr>
          <w:rFonts w:ascii="Times New Roman" w:hAnsi="Times New Roman"/>
          <w:b/>
          <w:sz w:val="20"/>
        </w:rPr>
        <w:t xml:space="preserve">Kirkland &amp; Ellis LLP </w:t>
      </w:r>
    </w:p>
    <w:p>
      <w:pPr>
        <w:pStyle w:val="TextBody"/>
        <w:bidi w:val="0"/>
        <w:spacing w:before="0" w:after="0"/>
        <w:jc w:val="center"/>
        <w:rPr>
          <w:rFonts w:ascii="Times New Roman" w:hAnsi="Times New Roman"/>
          <w:b/>
          <w:sz w:val="20"/>
        </w:rPr>
      </w:pPr>
      <w:r>
        <w:rPr>
          <w:rFonts w:ascii="Times New Roman" w:hAnsi="Times New Roman"/>
          <w:b/>
          <w:sz w:val="20"/>
        </w:rPr>
        <w:t xml:space="preserve">601 Lexington Avenue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10022 </w:t>
      </w:r>
    </w:p>
    <w:p>
      <w:pPr>
        <w:pStyle w:val="TextBody"/>
        <w:bidi w:val="0"/>
        <w:spacing w:before="0" w:after="0"/>
        <w:jc w:val="center"/>
        <w:rPr>
          <w:rFonts w:ascii="Times New Roman" w:hAnsi="Times New Roman"/>
          <w:b/>
          <w:sz w:val="20"/>
        </w:rPr>
      </w:pPr>
      <w:r>
        <w:rPr>
          <w:rFonts w:ascii="Times New Roman" w:hAnsi="Times New Roman"/>
          <w:b/>
          <w:sz w:val="20"/>
        </w:rPr>
        <w:t xml:space="preserve">(212) 446-4800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PART 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 1 and Item 2 of Part I of Form S-8 is omitted from this Registration Statement on Form S-8 (the “Registration Statement”) in accordance with the provisions of Rule 428 under the Securities Act of 1933, as amended (the “Securities Act”), and the introductory note to Part I of Form S-8. The documents containing the information specified in Part I of Form S-8 will be delivered to the participants in the ITG, Inc. Omnibus Incentive Plan (the “Plan”) covered by this Registration Statement as specified by Rule 428(b)(1) under the Securities Act. Such documents are not required to be, and are not, filed with the Securities and Exchange Commission (the “Commission”) either as part of this Registration Statement or as a prospectus or prospectus supplement pursuant to Rule 424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documents filed with the Commission by ITG, Inc. (the “Registrant”) pursuant to the Securities Act and the Securities Exchange Act of 1934, as amended (the “Exchange Act”), are hereby incorporated by reference in this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pPr>
            <w:r>
              <w:rPr>
                <w:rFonts w:ascii="Times New Roman" w:hAnsi="Times New Roman"/>
                <w:sz w:val="20"/>
              </w:rPr>
              <w:t xml:space="preserve">the Registrant’s </w:t>
            </w:r>
            <w:hyperlink r:id="rId2">
              <w:r>
                <w:rPr>
                  <w:rStyle w:val="InternetLink"/>
                  <w:rFonts w:ascii="Times New Roman" w:hAnsi="Times New Roman"/>
                  <w:sz w:val="20"/>
                </w:rPr>
                <w:t>Prospectus</w:t>
              </w:r>
            </w:hyperlink>
            <w:r>
              <w:rPr>
                <w:rFonts w:ascii="Times New Roman" w:hAnsi="Times New Roman"/>
                <w:sz w:val="20"/>
              </w:rPr>
              <w:t xml:space="preserve"> relating to the offering of Class A common stock, par value $0.001 per share, of the Registrant (the “Class A Common Stock”) dated June 30, 2026 and filed with the Commission on July  1, 2026, pursuant to Rule 424(b) of the Securities Act, relating to the Registrant’s Form S-1 (File No. 333-296557) (as amended, including all exhibits);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pPr>
            <w:r>
              <w:rPr>
                <w:rFonts w:ascii="Times New Roman" w:hAnsi="Times New Roman"/>
                <w:sz w:val="20"/>
              </w:rPr>
              <w:t xml:space="preserve">the description of the Class  A Common Stock contained in the Registrant’s Registration Statement on </w:t>
            </w:r>
            <w:hyperlink r:id="rId3">
              <w:r>
                <w:rPr>
                  <w:rStyle w:val="InternetLink"/>
                  <w:rFonts w:ascii="Times New Roman" w:hAnsi="Times New Roman"/>
                  <w:sz w:val="20"/>
                </w:rPr>
                <w:t>Form 8-A</w:t>
              </w:r>
            </w:hyperlink>
            <w:r>
              <w:rPr>
                <w:rFonts w:ascii="Times New Roman" w:hAnsi="Times New Roman"/>
                <w:sz w:val="20"/>
              </w:rPr>
              <w:t xml:space="preserve"> filed with the Commission on June 30, 2026, pursuant to Section 12(b) of the Exchange Act, including all other amendments and reports filed for the purpose of updating such description;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Registrant’s Current Report on Form 8-K filed with the Commission on July 2,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reports and other documents that the Registrant subsequently files pursuant to Sections 13(a), 13(c), 14 and 15(d) of the Exchange Act after the date of this Registration Statement (other than Current Reports on Form 8-K furnished pursuant to Item 2.02 or Item 7.01 of Form 8-K, including any exhibits included with such information, as well as any information deemed furnished to, rather than filed with, the Commission, unless expressly indicated otherwise) and prior to the filing of a post-effective amendment to this Registration Statement indicating that all securities offered have been sold or which deregisters all securities then remaining unsold, shall be deemed to be incorporated by reference into this Registration Statement and to be a part hereof from the date of filing of such documents.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authorizes a corporation’s board of directors to grant, and authorizes a court to award, indemnity to directors, officers, employees or agents. As permitted by Section 102(b)(7) of the DGCL, the Registrant’s amended and restated certificate of incorporation includes provisions that eliminate the personal liability of its directors and officers for monetary damages for breach of their fiduciary duty as directors and officers, except for liability (i) for any breach of the director’s duty of loyalty to the corporation or its stockholders, (ii) for acts or omissions not in good faith or which involve intentional misconduct or a knowing violation of law, (iii) for unlawful payments of dividends or unlawful stock repurchases, redemptions or other distributions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In addition, as permitted by Section 145 of the DGCL, the amended and restated bylaws of the Registrant provide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shall indemnify its directors and officers for serving the Registrant in those capacities or for serving other business enterprises at the Registrant’s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action or proceeding, had no reasonable cause to believe such person’s conduct was unlawful.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may, in its discretion, indemnify employees and agents in those circumstances where indemnification is permitted by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Registrant is required to advance expenses, as incurred, to its directors and officers in connection with defending a proceeding, except that such director or officer shall undertake to repay such advances if it is ultimately determined that such person is not entitled to indemnification.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rights conferred in the bylaws are not exclusive, and the Registrant is authorized to enter into indemnification agreements with its directors, officers, employees and agents and to obtain insurance to indemnify such persons.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Registrant has obtained and intends to maintain directors’ and officers’ insurance to insure such persons against certain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entered into separate indemnification agreements with its directors and officers. Each indemnification agreement provides, among other things, for indemnification to the fullest extent permitted by law and the Registrant’s amended and restated certificate of incorporation and amended and restated bylaws against any and all expenses, judgments, fines, penalties and amounts paid in settlement of any claim. The indemnification agreements also provide for the advancement or payment of all expenses to the indemnitee and for reimbursement to the Registrant if it is found that such indemnitee is not entitled to such indemnification under applicable law and the Registrant’s amended and restated certificate of incorporation and amended and restated bylaws. </w:t>
      </w:r>
    </w:p>
    <w:p>
      <w:pPr>
        <w:pStyle w:val="TextBody"/>
        <w:bidi w:val="0"/>
        <w:spacing w:before="240" w:after="0"/>
        <w:jc w:val="left"/>
        <w:rPr>
          <w:rFonts w:ascii="Times New Roman" w:hAnsi="Times New Roman"/>
          <w:sz w:val="20"/>
        </w:rPr>
      </w:pPr>
      <w:r>
        <w:rPr>
          <w:rFonts w:ascii="Times New Roman" w:hAnsi="Times New Roman"/>
          <w:sz w:val="20"/>
        </w:rPr>
        <w:t xml:space="preserve">These indemnification provisions may be sufficiently broad to permit indemnification of the Registrant’s directors and officers for liabilities (including reimbursement of expenses incurred) arising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Plan also provides that the committee administering the Plan may employ legal counsel, consultants and agents and may rely upon opinions and computations received from such persons. The Plan provides that, to the maximum extent permitted by applicable law and to the extent not covered by insurance directly insuring such person, each current and former officer or employee of the Registrant or any of its affiliates and each member or former member of the committee or the Board shall be indemnified and held harmless by the Registrant against certain costs, expenses and liabilities, and advanced amounts necessary to pay the foregoing, arising out of any act or omission to act in connection with the administration of the Plan, except to the extent arising out of such person’s own fraud or bad faith.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 above discussion of the DGCL, the amended and restated certificate of incorporation, the amended and restated bylaws, the indemnification agreements, the Plan and the Registrant’s maintenance of directors’ and officers’ liability insurance is not intended to be exhaustive and is qualified in its entirety by reference to such statute or applicable document.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list of exhibits filed as part of this Registration Statement, which are incorporated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6"/>
        <w:gridCol w:w="418"/>
        <w:gridCol w:w="8891"/>
      </w:tblGrid>
      <w:tr>
        <w:trPr/>
        <w:tc>
          <w:tcPr>
            <w:tcW w:w="896" w:type="dxa"/>
            <w:tcBorders/>
            <w:vAlign w:val="center"/>
          </w:tcPr>
          <w:p>
            <w:pPr>
              <w:pStyle w:val="TableContents"/>
              <w:bidi w:val="0"/>
              <w:spacing w:before="0" w:after="283"/>
              <w:jc w:val="left"/>
              <w:rPr>
                <w:sz w:val="4"/>
                <w:szCs w:val="4"/>
              </w:rPr>
            </w:pPr>
            <w:r>
              <w:rPr>
                <w:sz w:val="4"/>
                <w:szCs w:val="4"/>
              </w:rPr>
            </w:r>
          </w:p>
        </w:tc>
        <w:tc>
          <w:tcPr>
            <w:tcW w:w="418" w:type="dxa"/>
            <w:tcBorders/>
            <w:vAlign w:val="bottom"/>
          </w:tcPr>
          <w:p>
            <w:pPr>
              <w:pStyle w:val="TableContents"/>
              <w:bidi w:val="0"/>
              <w:spacing w:before="0" w:after="283"/>
              <w:jc w:val="left"/>
              <w:rPr>
                <w:sz w:val="4"/>
                <w:szCs w:val="4"/>
              </w:rPr>
            </w:pPr>
            <w:r>
              <w:rPr>
                <w:sz w:val="4"/>
                <w:szCs w:val="4"/>
              </w:rPr>
            </w:r>
          </w:p>
        </w:tc>
        <w:tc>
          <w:tcPr>
            <w:tcW w:w="8891" w:type="dxa"/>
            <w:tcBorders/>
            <w:vAlign w:val="center"/>
          </w:tcPr>
          <w:p>
            <w:pPr>
              <w:pStyle w:val="TableContents"/>
              <w:bidi w:val="0"/>
              <w:spacing w:before="0" w:after="283"/>
              <w:jc w:val="left"/>
              <w:rPr>
                <w:sz w:val="4"/>
                <w:szCs w:val="4"/>
              </w:rPr>
            </w:pPr>
            <w:r>
              <w:rPr>
                <w:sz w:val="4"/>
                <w:szCs w:val="4"/>
              </w:rPr>
            </w:r>
          </w:p>
        </w:tc>
      </w:tr>
      <w:tr>
        <w:trPr/>
        <w:tc>
          <w:tcPr>
            <w:tcW w:w="896" w:type="dxa"/>
            <w:tcBorders/>
            <w:vAlign w:val="bottom"/>
          </w:tcPr>
          <w:p>
            <w:pPr>
              <w:pStyle w:val="TableContents"/>
              <w:bidi w:val="0"/>
              <w:spacing w:before="0" w:after="283"/>
              <w:jc w:val="center"/>
              <w:rPr>
                <w:b/>
              </w:rPr>
            </w:pPr>
            <w:r>
              <w:rPr>
                <w:b/>
              </w:rPr>
              <w:t>Exhibit</w:t>
              <w:br/>
              <w:t>Number</w:t>
            </w:r>
          </w:p>
        </w:tc>
        <w:tc>
          <w:tcPr>
            <w:tcW w:w="418" w:type="dxa"/>
            <w:tcBorders/>
            <w:vAlign w:val="bottom"/>
          </w:tcPr>
          <w:p>
            <w:pPr>
              <w:pStyle w:val="TableContents"/>
              <w:bidi w:val="0"/>
              <w:spacing w:before="0" w:after="283"/>
              <w:jc w:val="left"/>
              <w:rPr/>
            </w:pPr>
            <w:r>
              <w:rPr/>
              <w:t>  </w:t>
            </w:r>
          </w:p>
        </w:tc>
        <w:tc>
          <w:tcPr>
            <w:tcW w:w="8891" w:type="dxa"/>
            <w:tcBorders/>
            <w:vAlign w:val="bottom"/>
          </w:tcPr>
          <w:p>
            <w:pPr>
              <w:pStyle w:val="TableContents"/>
              <w:bidi w:val="0"/>
              <w:spacing w:before="0" w:after="283"/>
              <w:jc w:val="center"/>
              <w:rPr>
                <w:b/>
              </w:rPr>
            </w:pPr>
            <w:r>
              <w:rPr>
                <w:b/>
              </w:rPr>
              <w:t>Description</w:t>
            </w:r>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4.1*</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41.htm">
              <w:r>
                <w:rPr>
                  <w:rStyle w:val="InternetLink"/>
                </w:rPr>
                <w:t xml:space="preserve">Amended and Restated Certificate of Incorporation of ITG, Inc.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4.2*</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42.htm">
              <w:r>
                <w:rPr>
                  <w:rStyle w:val="InternetLink"/>
                </w:rPr>
                <w:t xml:space="preserve">Amended and Restated Bylaws of ITG, Inc.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4.3*</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43.htm">
              <w:r>
                <w:rPr>
                  <w:rStyle w:val="InternetLink"/>
                </w:rPr>
                <w:t xml:space="preserve">ITG, Inc. Omnibus Incentive Plan.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5.1*</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51.htm">
              <w:r>
                <w:rPr>
                  <w:rStyle w:val="InternetLink"/>
                </w:rPr>
                <w:t xml:space="preserve">Opinion of Kirkland &amp; Ellis LLP.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23.1*</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231.htm">
              <w:r>
                <w:rPr>
                  <w:rStyle w:val="InternetLink"/>
                </w:rPr>
                <w:t xml:space="preserve">Consent of Grant Thornton LLP, as to ITG, Inc.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23.2*</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232.htm">
              <w:r>
                <w:rPr>
                  <w:rStyle w:val="InternetLink"/>
                </w:rPr>
                <w:t xml:space="preserve">Consent of Grant Thornton LLP, as to ITG Parent, LLC.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23.3*</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233.htm">
              <w:r>
                <w:rPr>
                  <w:rStyle w:val="InternetLink"/>
                </w:rPr>
                <w:t xml:space="preserve">Consent of RSM US LLP, as to ITG Parent, LLC.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23.4*</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51.htm">
              <w:r>
                <w:rPr>
                  <w:rStyle w:val="InternetLink"/>
                </w:rPr>
                <w:t xml:space="preserve">Consent of Kirkland &amp; Ellis LLP (included as part of Exhibit 5.1).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23.5*</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235.htm">
              <w:r>
                <w:rPr>
                  <w:rStyle w:val="InternetLink"/>
                </w:rPr>
                <w:t xml:space="preserve">Consent of Altman Solon US, LP.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 </w:t>
            </w:r>
            <w:r>
              <w:rPr/>
              <w:t>24.1*</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sig">
              <w:r>
                <w:rPr>
                  <w:rStyle w:val="InternetLink"/>
                </w:rPr>
                <w:t xml:space="preserve">Power of Attorney (included in the signature page to this Registration Statement). </w:t>
              </w:r>
            </w:hyperlink>
          </w:p>
        </w:tc>
      </w:tr>
      <w:tr>
        <w:trPr>
          <w:trHeight w:val="120" w:hRule="atLeast"/>
        </w:trPr>
        <w:tc>
          <w:tcPr>
            <w:tcW w:w="896" w:type="dxa"/>
            <w:tcBorders/>
            <w:vAlign w:val="center"/>
          </w:tcPr>
          <w:p>
            <w:pPr>
              <w:pStyle w:val="TableContents"/>
              <w:bidi w:val="0"/>
              <w:spacing w:before="0" w:after="283"/>
              <w:jc w:val="left"/>
              <w:rPr>
                <w:sz w:val="4"/>
                <w:szCs w:val="4"/>
              </w:rPr>
            </w:pPr>
            <w:r>
              <w:rPr>
                <w:sz w:val="4"/>
                <w:szCs w:val="4"/>
              </w:rPr>
            </w:r>
          </w:p>
        </w:tc>
        <w:tc>
          <w:tcPr>
            <w:tcW w:w="9309" w:type="dxa"/>
            <w:gridSpan w:val="2"/>
            <w:tcBorders/>
            <w:vAlign w:val="center"/>
          </w:tcPr>
          <w:p>
            <w:pPr>
              <w:pStyle w:val="TableContents"/>
              <w:bidi w:val="0"/>
              <w:spacing w:before="0" w:after="283"/>
              <w:jc w:val="left"/>
              <w:rPr>
                <w:sz w:val="4"/>
                <w:szCs w:val="4"/>
              </w:rPr>
            </w:pPr>
            <w:r>
              <w:rPr>
                <w:sz w:val="4"/>
                <w:szCs w:val="4"/>
              </w:rPr>
            </w:r>
          </w:p>
        </w:tc>
      </w:tr>
      <w:tr>
        <w:trPr/>
        <w:tc>
          <w:tcPr>
            <w:tcW w:w="896" w:type="dxa"/>
            <w:tcBorders/>
          </w:tcPr>
          <w:p>
            <w:pPr>
              <w:pStyle w:val="TableContents"/>
              <w:bidi w:val="0"/>
              <w:spacing w:before="0" w:after="283"/>
              <w:jc w:val="left"/>
              <w:rPr/>
            </w:pPr>
            <w:r>
              <w:rPr/>
              <w:t>107*</w:t>
            </w:r>
          </w:p>
        </w:tc>
        <w:tc>
          <w:tcPr>
            <w:tcW w:w="418" w:type="dxa"/>
            <w:tcBorders/>
            <w:vAlign w:val="bottom"/>
          </w:tcPr>
          <w:p>
            <w:pPr>
              <w:pStyle w:val="TableContents"/>
              <w:bidi w:val="0"/>
              <w:spacing w:before="0" w:after="283"/>
              <w:jc w:val="left"/>
              <w:rPr/>
            </w:pPr>
            <w:r>
              <w:rPr/>
              <w:t>  </w:t>
            </w:r>
          </w:p>
        </w:tc>
        <w:tc>
          <w:tcPr>
            <w:tcW w:w="8891" w:type="dxa"/>
            <w:tcBorders/>
          </w:tcPr>
          <w:p>
            <w:pPr>
              <w:pStyle w:val="TableContents"/>
              <w:bidi w:val="0"/>
              <w:spacing w:before="0" w:after="283"/>
              <w:jc w:val="left"/>
              <w:rPr/>
            </w:pPr>
            <w:hyperlink w:anchor="d63178dexfilingfees.htm">
              <w:r>
                <w:rPr>
                  <w:rStyle w:val="InternetLink"/>
                </w:rPr>
                <w:t xml:space="preserve">Filing Fee Table. </w:t>
              </w:r>
            </w:hyperlink>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table in this effective Registration Statement; and </w:t>
      </w:r>
    </w:p>
    <w:p>
      <w:pPr>
        <w:pStyle w:val="TextBody"/>
        <w:bidi w:val="0"/>
        <w:spacing w:before="12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this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p>
    <w:p>
      <w:pPr>
        <w:pStyle w:val="TextBody"/>
        <w:bidi w:val="0"/>
        <w:spacing w:before="12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Fort Lauderdale, State of Florida, on July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2"/>
        <w:gridCol w:w="61"/>
        <w:gridCol w:w="3349"/>
      </w:tblGrid>
      <w:tr>
        <w:trPr/>
        <w:tc>
          <w:tcPr>
            <w:tcW w:w="67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ITG, INC.</w:t>
            </w:r>
          </w:p>
        </w:tc>
      </w:tr>
      <w:tr>
        <w:trPr>
          <w:trHeight w:val="240" w:hRule="atLeast"/>
        </w:trPr>
        <w:tc>
          <w:tcPr>
            <w:tcW w:w="672" w:type="dxa"/>
            <w:tcBorders/>
            <w:vAlign w:val="center"/>
          </w:tcPr>
          <w:p>
            <w:pPr>
              <w:pStyle w:val="TableContents"/>
              <w:bidi w:val="0"/>
              <w:spacing w:before="0" w:after="283"/>
              <w:jc w:val="left"/>
              <w:rPr>
                <w:sz w:val="4"/>
                <w:szCs w:val="4"/>
              </w:rPr>
            </w:pPr>
            <w:r>
              <w:rPr>
                <w:sz w:val="4"/>
                <w:szCs w:val="4"/>
              </w:rPr>
            </w:r>
          </w:p>
        </w:tc>
        <w:tc>
          <w:tcPr>
            <w:tcW w:w="3410" w:type="dxa"/>
            <w:gridSpan w:val="2"/>
            <w:tcBorders/>
            <w:vAlign w:val="center"/>
          </w:tcPr>
          <w:p>
            <w:pPr>
              <w:pStyle w:val="TableContents"/>
              <w:bidi w:val="0"/>
              <w:spacing w:before="0" w:after="283"/>
              <w:jc w:val="left"/>
              <w:rPr>
                <w:sz w:val="4"/>
                <w:szCs w:val="4"/>
              </w:rPr>
            </w:pPr>
            <w:r>
              <w:rPr>
                <w:sz w:val="4"/>
                <w:szCs w:val="4"/>
              </w:rPr>
            </w:r>
          </w:p>
        </w:tc>
      </w:tr>
      <w:tr>
        <w:trPr/>
        <w:tc>
          <w:tcPr>
            <w:tcW w:w="67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Andrew D. Parrott</w:t>
            </w:r>
          </w:p>
        </w:tc>
      </w:tr>
      <w:tr>
        <w:trPr/>
        <w:tc>
          <w:tcPr>
            <w:tcW w:w="672" w:type="dxa"/>
            <w:tcBorders/>
          </w:tcPr>
          <w:p>
            <w:pPr>
              <w:pStyle w:val="TableContents"/>
              <w:bidi w:val="0"/>
              <w:spacing w:before="0" w:after="283"/>
              <w:jc w:val="left"/>
              <w:rPr/>
            </w:pPr>
            <w:r>
              <w:rPr/>
              <w:t>Name: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Andrew D. Parrott</w:t>
            </w:r>
          </w:p>
        </w:tc>
      </w:tr>
      <w:tr>
        <w:trPr/>
        <w:tc>
          <w:tcPr>
            <w:tcW w:w="672" w:type="dxa"/>
            <w:tcBorders/>
          </w:tcPr>
          <w:p>
            <w:pPr>
              <w:pStyle w:val="TableContents"/>
              <w:bidi w:val="0"/>
              <w:spacing w:before="0" w:after="283"/>
              <w:jc w:val="left"/>
              <w:rPr/>
            </w:pPr>
            <w:r>
              <w:rPr/>
              <w:t>Title:</w:t>
            </w:r>
          </w:p>
        </w:tc>
        <w:tc>
          <w:tcPr>
            <w:tcW w:w="61" w:type="dxa"/>
            <w:tcBorders/>
            <w:vAlign w:val="bottom"/>
          </w:tcPr>
          <w:p>
            <w:pPr>
              <w:pStyle w:val="TableContents"/>
              <w:bidi w:val="0"/>
              <w:spacing w:before="0" w:after="283"/>
              <w:jc w:val="left"/>
              <w:rPr/>
            </w:pPr>
            <w:r>
              <w:rPr/>
              <w:t> </w:t>
            </w:r>
          </w:p>
        </w:tc>
        <w:tc>
          <w:tcPr>
            <w:tcW w:w="3349" w:type="dxa"/>
            <w:tcBorders/>
          </w:tcPr>
          <w:p>
            <w:pPr>
              <w:pStyle w:val="TableContents"/>
              <w:bidi w:val="0"/>
              <w:spacing w:before="0" w:after="283"/>
              <w:jc w:val="left"/>
              <w:rPr/>
            </w:pPr>
            <w:r>
              <w:rPr/>
              <w:t>Chief Executive Officer and Director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appoints Andrew D. Parrott, Christopher H. Mecray and Michael G. Brooks, and each of them, any of whom may act without joinder of the other, the individual’s true and lawful attorney-in-fact and agent, with full power of substitution and resubstitution, for the person and in his or her name, place and stead, in any and all capacities, to sign any and all amendments to this Registration Statement, including post-effective amendments,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indicated on July 2, 2026.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3984"/>
        <w:gridCol w:w="122"/>
        <w:gridCol w:w="6099"/>
      </w:tblGrid>
      <w:tr>
        <w:trPr/>
        <w:tc>
          <w:tcPr>
            <w:tcW w:w="398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099" w:type="dxa"/>
            <w:tcBorders/>
            <w:vAlign w:val="center"/>
          </w:tcPr>
          <w:p>
            <w:pPr>
              <w:pStyle w:val="TableContents"/>
              <w:bidi w:val="0"/>
              <w:spacing w:before="0" w:after="283"/>
              <w:jc w:val="left"/>
              <w:rPr>
                <w:sz w:val="4"/>
                <w:szCs w:val="4"/>
              </w:rPr>
            </w:pPr>
            <w:r>
              <w:rPr>
                <w:sz w:val="4"/>
                <w:szCs w:val="4"/>
              </w:rPr>
            </w:r>
          </w:p>
        </w:tc>
      </w:tr>
      <w:tr>
        <w:trPr/>
        <w:tc>
          <w:tcPr>
            <w:tcW w:w="3984" w:type="dxa"/>
            <w:tcBorders/>
            <w:vAlign w:val="bottom"/>
          </w:tcPr>
          <w:p>
            <w:pPr>
              <w:pStyle w:val="TableContents"/>
              <w:bidi w:val="0"/>
              <w:spacing w:before="0" w:after="283"/>
              <w:jc w:val="center"/>
              <w:rPr>
                <w:b/>
              </w:rPr>
            </w:pPr>
            <w:r>
              <w:rPr>
                <w:b/>
              </w:rPr>
              <w:t>Signature</w:t>
            </w:r>
          </w:p>
        </w:tc>
        <w:tc>
          <w:tcPr>
            <w:tcW w:w="122" w:type="dxa"/>
            <w:tcBorders/>
            <w:vAlign w:val="bottom"/>
          </w:tcPr>
          <w:p>
            <w:pPr>
              <w:pStyle w:val="TableContents"/>
              <w:bidi w:val="0"/>
              <w:spacing w:before="0" w:after="283"/>
              <w:jc w:val="left"/>
              <w:rPr/>
            </w:pPr>
            <w:r>
              <w:rPr/>
              <w:t>  </w:t>
            </w:r>
          </w:p>
        </w:tc>
        <w:tc>
          <w:tcPr>
            <w:tcW w:w="6099" w:type="dxa"/>
            <w:tcBorders/>
            <w:vAlign w:val="bottom"/>
          </w:tcPr>
          <w:p>
            <w:pPr>
              <w:pStyle w:val="TableContents"/>
              <w:bidi w:val="0"/>
              <w:spacing w:before="0" w:after="283"/>
              <w:jc w:val="center"/>
              <w:rPr>
                <w:b/>
              </w:rPr>
            </w:pPr>
            <w:r>
              <w:rPr>
                <w:b/>
              </w:rPr>
              <w:t>Title</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Andrew D. Parrott</w:t>
            </w:r>
          </w:p>
          <w:p>
            <w:pPr>
              <w:pStyle w:val="TableContents"/>
              <w:bidi w:val="0"/>
              <w:spacing w:before="0" w:after="20"/>
              <w:jc w:val="center"/>
              <w:rPr>
                <w:rFonts w:ascii="Times New Roman" w:hAnsi="Times New Roman"/>
                <w:sz w:val="20"/>
              </w:rPr>
            </w:pPr>
            <w:r>
              <w:rPr>
                <w:rFonts w:ascii="Times New Roman" w:hAnsi="Times New Roman"/>
                <w:sz w:val="20"/>
              </w:rPr>
              <w:t>Andrew D. Parrott</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Chief Executive Officer and Director</w:t>
              <w:br/>
              <w:t>(</w:t>
            </w:r>
            <w:r>
              <w:rPr>
                <w:i/>
              </w:rPr>
              <w:t>Principal Executive Officer</w:t>
            </w:r>
            <w:r>
              <w:rPr/>
              <w:t>)</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Christopher H. Mecray</w:t>
            </w:r>
          </w:p>
          <w:p>
            <w:pPr>
              <w:pStyle w:val="TableContents"/>
              <w:bidi w:val="0"/>
              <w:spacing w:before="0" w:after="20"/>
              <w:jc w:val="center"/>
              <w:rPr>
                <w:rFonts w:ascii="Times New Roman" w:hAnsi="Times New Roman"/>
                <w:sz w:val="20"/>
              </w:rPr>
            </w:pPr>
            <w:r>
              <w:rPr>
                <w:rFonts w:ascii="Times New Roman" w:hAnsi="Times New Roman"/>
                <w:sz w:val="20"/>
              </w:rPr>
              <w:t>Christopher H. Mecray</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Chief Financial Officer</w:t>
              <w:br/>
              <w:t>(</w:t>
            </w:r>
            <w:r>
              <w:rPr>
                <w:i/>
              </w:rPr>
              <w:t>Principal Financial Officer and Principal Accounting Officer</w:t>
            </w:r>
            <w:r>
              <w:rPr/>
              <w:t>)</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G. Brooks</w:t>
            </w:r>
          </w:p>
          <w:p>
            <w:pPr>
              <w:pStyle w:val="TableContents"/>
              <w:bidi w:val="0"/>
              <w:spacing w:before="0" w:after="20"/>
              <w:jc w:val="center"/>
              <w:rPr>
                <w:rFonts w:ascii="Times New Roman" w:hAnsi="Times New Roman"/>
                <w:sz w:val="20"/>
              </w:rPr>
            </w:pPr>
            <w:r>
              <w:rPr>
                <w:rFonts w:ascii="Times New Roman" w:hAnsi="Times New Roman"/>
                <w:sz w:val="20"/>
              </w:rPr>
              <w:t>Michael G. Brooks</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Chair of the Board of Directors</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A. Giacalone</w:t>
            </w:r>
          </w:p>
          <w:p>
            <w:pPr>
              <w:pStyle w:val="TableContents"/>
              <w:bidi w:val="0"/>
              <w:spacing w:before="0" w:after="20"/>
              <w:jc w:val="center"/>
              <w:rPr>
                <w:rFonts w:ascii="Times New Roman" w:hAnsi="Times New Roman"/>
                <w:sz w:val="20"/>
              </w:rPr>
            </w:pPr>
            <w:r>
              <w:rPr>
                <w:rFonts w:ascii="Times New Roman" w:hAnsi="Times New Roman"/>
                <w:sz w:val="20"/>
              </w:rPr>
              <w:t>Peter A. Giacalone</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G. LaPerch</w:t>
            </w:r>
          </w:p>
          <w:p>
            <w:pPr>
              <w:pStyle w:val="TableContents"/>
              <w:bidi w:val="0"/>
              <w:spacing w:before="0" w:after="20"/>
              <w:jc w:val="center"/>
              <w:rPr>
                <w:rFonts w:ascii="Times New Roman" w:hAnsi="Times New Roman"/>
                <w:sz w:val="20"/>
              </w:rPr>
            </w:pPr>
            <w:r>
              <w:rPr>
                <w:rFonts w:ascii="Times New Roman" w:hAnsi="Times New Roman"/>
                <w:sz w:val="20"/>
              </w:rPr>
              <w:t>William G. LaPerch</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James S. Lee</w:t>
            </w:r>
          </w:p>
          <w:p>
            <w:pPr>
              <w:pStyle w:val="TableContents"/>
              <w:bidi w:val="0"/>
              <w:spacing w:before="0" w:after="20"/>
              <w:jc w:val="center"/>
              <w:rPr>
                <w:rFonts w:ascii="Times New Roman" w:hAnsi="Times New Roman"/>
                <w:sz w:val="20"/>
              </w:rPr>
            </w:pPr>
            <w:r>
              <w:rPr>
                <w:rFonts w:ascii="Times New Roman" w:hAnsi="Times New Roman"/>
                <w:sz w:val="20"/>
              </w:rPr>
              <w:t>James S. Lee</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Nicholas G. Papadakis</w:t>
            </w:r>
          </w:p>
          <w:p>
            <w:pPr>
              <w:pStyle w:val="TableContents"/>
              <w:bidi w:val="0"/>
              <w:spacing w:before="0" w:after="20"/>
              <w:jc w:val="center"/>
              <w:rPr>
                <w:rFonts w:ascii="Times New Roman" w:hAnsi="Times New Roman"/>
                <w:sz w:val="20"/>
              </w:rPr>
            </w:pPr>
            <w:r>
              <w:rPr>
                <w:rFonts w:ascii="Times New Roman" w:hAnsi="Times New Roman"/>
                <w:sz w:val="20"/>
              </w:rPr>
              <w:t>Nicholas G. Papadakis</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Dylan G. Petre</w:t>
            </w:r>
          </w:p>
          <w:p>
            <w:pPr>
              <w:pStyle w:val="TableContents"/>
              <w:bidi w:val="0"/>
              <w:spacing w:before="0" w:after="20"/>
              <w:jc w:val="center"/>
              <w:rPr>
                <w:rFonts w:ascii="Times New Roman" w:hAnsi="Times New Roman"/>
                <w:sz w:val="20"/>
              </w:rPr>
            </w:pPr>
            <w:r>
              <w:rPr>
                <w:rFonts w:ascii="Times New Roman" w:hAnsi="Times New Roman"/>
                <w:sz w:val="20"/>
              </w:rPr>
              <w:t>Dylan G. Petre</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Francis A. Braun III</w:t>
            </w:r>
          </w:p>
          <w:p>
            <w:pPr>
              <w:pStyle w:val="TableContents"/>
              <w:bidi w:val="0"/>
              <w:spacing w:before="0" w:after="20"/>
              <w:jc w:val="center"/>
              <w:rPr>
                <w:rFonts w:ascii="Times New Roman" w:hAnsi="Times New Roman"/>
                <w:sz w:val="20"/>
              </w:rPr>
            </w:pPr>
            <w:r>
              <w:rPr>
                <w:rFonts w:ascii="Times New Roman" w:hAnsi="Times New Roman"/>
                <w:sz w:val="20"/>
              </w:rPr>
              <w:t>Francis A. Braun III</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r>
        <w:trPr>
          <w:trHeight w:val="240" w:hRule="atLeast"/>
        </w:trPr>
        <w:tc>
          <w:tcPr>
            <w:tcW w:w="3984" w:type="dxa"/>
            <w:tcBorders/>
            <w:vAlign w:val="center"/>
          </w:tcPr>
          <w:p>
            <w:pPr>
              <w:pStyle w:val="TableContents"/>
              <w:bidi w:val="0"/>
              <w:spacing w:before="0" w:after="283"/>
              <w:jc w:val="left"/>
              <w:rPr>
                <w:sz w:val="4"/>
                <w:szCs w:val="4"/>
              </w:rPr>
            </w:pPr>
            <w:r>
              <w:rPr>
                <w:sz w:val="4"/>
                <w:szCs w:val="4"/>
              </w:rPr>
            </w:r>
          </w:p>
        </w:tc>
        <w:tc>
          <w:tcPr>
            <w:tcW w:w="6221" w:type="dxa"/>
            <w:gridSpan w:val="2"/>
            <w:tcBorders/>
            <w:vAlign w:val="center"/>
          </w:tcPr>
          <w:p>
            <w:pPr>
              <w:pStyle w:val="TableContents"/>
              <w:bidi w:val="0"/>
              <w:spacing w:before="0" w:after="283"/>
              <w:jc w:val="left"/>
              <w:rPr>
                <w:sz w:val="4"/>
                <w:szCs w:val="4"/>
              </w:rPr>
            </w:pPr>
            <w:r>
              <w:rPr>
                <w:sz w:val="4"/>
                <w:szCs w:val="4"/>
              </w:rPr>
            </w:r>
          </w:p>
        </w:tc>
      </w:tr>
      <w:tr>
        <w:trPr/>
        <w:tc>
          <w:tcPr>
            <w:tcW w:w="398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L. Wu</w:t>
            </w:r>
          </w:p>
          <w:p>
            <w:pPr>
              <w:pStyle w:val="TableContents"/>
              <w:bidi w:val="0"/>
              <w:spacing w:before="0" w:after="20"/>
              <w:jc w:val="center"/>
              <w:rPr>
                <w:rFonts w:ascii="Times New Roman" w:hAnsi="Times New Roman"/>
                <w:sz w:val="20"/>
              </w:rPr>
            </w:pPr>
            <w:r>
              <w:rPr>
                <w:rFonts w:ascii="Times New Roman" w:hAnsi="Times New Roman"/>
                <w:sz w:val="20"/>
              </w:rPr>
              <w:t>Robert L. Wu</w:t>
            </w:r>
          </w:p>
        </w:tc>
        <w:tc>
          <w:tcPr>
            <w:tcW w:w="122" w:type="dxa"/>
            <w:tcBorders/>
            <w:vAlign w:val="bottom"/>
          </w:tcPr>
          <w:p>
            <w:pPr>
              <w:pStyle w:val="TableContents"/>
              <w:bidi w:val="0"/>
              <w:spacing w:before="0" w:after="283"/>
              <w:jc w:val="left"/>
              <w:rPr/>
            </w:pPr>
            <w:r>
              <w:rPr/>
              <w:t>  </w:t>
            </w:r>
          </w:p>
        </w:tc>
        <w:tc>
          <w:tcPr>
            <w:tcW w:w="6099" w:type="dxa"/>
            <w:tcBorders/>
          </w:tcPr>
          <w:p>
            <w:pPr>
              <w:pStyle w:val="TableContents"/>
              <w:bidi w:val="0"/>
              <w:spacing w:before="0" w:after="283"/>
              <w:jc w:val="center"/>
              <w:rPr/>
            </w:pPr>
            <w:r>
              <w:rPr/>
              <w:t>Director</w:t>
            </w:r>
          </w:p>
        </w:tc>
      </w:tr>
    </w:tbl>
    <w:p>
      <w:pPr>
        <w:pStyle w:val="TextBody"/>
        <w:bidi w:val="0"/>
        <w:spacing w:before="0" w:after="0"/>
        <w:jc w:val="right"/>
        <w:rPr>
          <w:rFonts w:ascii="Times New Roman" w:hAnsi="Times New Roman"/>
          <w:b/>
          <w:sz w:val="20"/>
        </w:rPr>
      </w:pPr>
      <w:bookmarkStart w:id="3" w:name="d63178dex41.htm"/>
      <w:bookmarkStart w:id="4" w:name="ksd63178dex41"/>
      <w:bookmarkEnd w:id="3"/>
      <w:bookmarkEnd w:id="4"/>
      <w:r>
        <w:rPr>
          <w:rFonts w:ascii="Times New Roman" w:hAnsi="Times New Roman"/>
          <w:b/>
          <w:sz w:val="20"/>
        </w:rPr>
        <w:t xml:space="preserve">Exhibit 4.1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12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ITG, INC. </w:t>
      </w:r>
    </w:p>
    <w:p>
      <w:pPr>
        <w:pStyle w:val="TextBody"/>
        <w:bidi w:val="0"/>
        <w:spacing w:before="240" w:after="0"/>
        <w:jc w:val="left"/>
        <w:rPr>
          <w:rFonts w:ascii="Times New Roman" w:hAnsi="Times New Roman"/>
          <w:sz w:val="20"/>
        </w:rPr>
      </w:pPr>
      <w:r>
        <w:rPr>
          <w:rFonts w:ascii="Times New Roman" w:hAnsi="Times New Roman"/>
          <w:sz w:val="20"/>
        </w:rPr>
        <w:t>ITG, Inc. (the “</w:t>
      </w:r>
      <w:r>
        <w:rPr>
          <w:rFonts w:ascii="Times New Roman" w:hAnsi="Times New Roman"/>
          <w:b/>
          <w:sz w:val="20"/>
        </w:rPr>
        <w:t>Company</w:t>
      </w:r>
      <w:r>
        <w:rPr>
          <w:rFonts w:ascii="Times New Roman" w:hAnsi="Times New Roman"/>
          <w:sz w:val="20"/>
        </w:rPr>
        <w:t>”), a corporation organized and existing under the General Corporation Law of the State of Delaware (“</w:t>
      </w:r>
      <w:r>
        <w:rPr>
          <w:rFonts w:ascii="Times New Roman" w:hAnsi="Times New Roman"/>
          <w:b/>
          <w:sz w:val="20"/>
        </w:rPr>
        <w:t>DGCL</w:t>
      </w:r>
      <w:r>
        <w:rPr>
          <w:rFonts w:ascii="Times New Roman" w:hAnsi="Times New Roman"/>
          <w:sz w:val="20"/>
        </w:rPr>
        <w:t xml:space="preserve">”), does hereby certify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The original Certificate of Incorporation of the Company was filed with the office of the Secretary of State of the State of Delaware on January 15, 2026 (the “</w:t>
            </w:r>
            <w:r>
              <w:rPr>
                <w:rFonts w:ascii="Times New Roman" w:hAnsi="Times New Roman"/>
                <w:b/>
                <w:sz w:val="20"/>
              </w:rPr>
              <w:t>Certificate of Incorporation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This Amended and Restated Certificate of Incorporation (as amended or modified from time to time, this “</w:t>
            </w:r>
            <w:r>
              <w:rPr>
                <w:rFonts w:ascii="Times New Roman" w:hAnsi="Times New Roman"/>
                <w:b/>
                <w:sz w:val="20"/>
              </w:rPr>
              <w:t>Amended and Restated Certificate of Incorporation</w:t>
            </w:r>
            <w:r>
              <w:rPr>
                <w:rFonts w:ascii="Times New Roman" w:hAnsi="Times New Roman"/>
                <w:sz w:val="20"/>
              </w:rPr>
              <w:t xml:space="preserve">”) was duly adopted by the written consent of the stockholders in accordance with Sections 228, 242 and 245 of the General Corporation Law of the State of Delaware.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Amended and Restated Certificate of Incorporation restates and integrates and further amends the Certificate of Incorporation of the Company in its entirety.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text of the Certificate of Incorporation hereby is amended and restated in its entirety as follows: </w:t>
            </w:r>
          </w:p>
        </w:tc>
      </w:tr>
    </w:tbl>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NAME </w:t>
      </w:r>
    </w:p>
    <w:p>
      <w:pPr>
        <w:pStyle w:val="TextBody"/>
        <w:bidi w:val="0"/>
        <w:spacing w:before="240" w:after="0"/>
        <w:jc w:val="left"/>
        <w:rPr>
          <w:rFonts w:ascii="Times New Roman" w:hAnsi="Times New Roman"/>
          <w:sz w:val="20"/>
        </w:rPr>
      </w:pPr>
      <w:r>
        <w:rPr>
          <w:rFonts w:ascii="Times New Roman" w:hAnsi="Times New Roman"/>
          <w:sz w:val="20"/>
        </w:rPr>
        <w:t xml:space="preserve">The name of the Company is ITG, Inc.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REGISTERED OFFICE AND AGENT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Company’s registered office in the State of Delaware is 251 Little Falls Drive, in the City of Wilmington, County of New Castle, Delaware 19808. The name of its registered agent at such address is Corporation Service Company.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the Company is to engage in any lawful act or activity for which corporations may now or hereafter be organized under the DGCL.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CAPITAL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Authorized Capital.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total number of shares of all classes of capital stock which the Company shall have authority to issue is 1,205,000,000, which shall be divided into three classes as follows: 1,000,000,000 shares of Class A common stock, par value $0.001 per share (“</w:t>
      </w:r>
      <w:r>
        <w:rPr>
          <w:rFonts w:ascii="Times New Roman" w:hAnsi="Times New Roman"/>
          <w:b/>
          <w:sz w:val="20"/>
        </w:rPr>
        <w:t>Class</w:t>
      </w:r>
      <w:r>
        <w:rPr>
          <w:rFonts w:ascii="Times New Roman" w:hAnsi="Times New Roman"/>
          <w:sz w:val="20"/>
        </w:rPr>
        <w:t> </w:t>
      </w:r>
      <w:r>
        <w:rPr>
          <w:rFonts w:ascii="Times New Roman" w:hAnsi="Times New Roman"/>
          <w:b/>
          <w:sz w:val="20"/>
        </w:rPr>
        <w:t>A Common Stock</w:t>
      </w:r>
      <w:r>
        <w:rPr>
          <w:rFonts w:ascii="Times New Roman" w:hAnsi="Times New Roman"/>
          <w:sz w:val="20"/>
        </w:rPr>
        <w:t>”); 200,000,000 shares of Class B common stock, par value $0.001 per share (“</w:t>
      </w:r>
      <w:r>
        <w:rPr>
          <w:rFonts w:ascii="Times New Roman" w:hAnsi="Times New Roman"/>
          <w:b/>
          <w:sz w:val="20"/>
        </w:rPr>
        <w:t>Class</w:t>
      </w:r>
      <w:r>
        <w:rPr>
          <w:rFonts w:ascii="Times New Roman" w:hAnsi="Times New Roman"/>
          <w:sz w:val="20"/>
        </w:rPr>
        <w:t> </w:t>
      </w:r>
      <w:r>
        <w:rPr>
          <w:rFonts w:ascii="Times New Roman" w:hAnsi="Times New Roman"/>
          <w:b/>
          <w:sz w:val="20"/>
        </w:rPr>
        <w:t>B Common Stock</w:t>
      </w:r>
      <w:r>
        <w:rPr>
          <w:rFonts w:ascii="Times New Roman" w:hAnsi="Times New Roman"/>
          <w:sz w:val="20"/>
        </w:rPr>
        <w:t>” and, together with Class A Common Stock, the “</w:t>
      </w:r>
      <w:r>
        <w:rPr>
          <w:rFonts w:ascii="Times New Roman" w:hAnsi="Times New Roman"/>
          <w:b/>
          <w:sz w:val="20"/>
        </w:rPr>
        <w:t>Common Stock</w:t>
      </w:r>
      <w:r>
        <w:rPr>
          <w:rFonts w:ascii="Times New Roman" w:hAnsi="Times New Roman"/>
          <w:sz w:val="20"/>
        </w:rPr>
        <w:t>”); and 5,000,000 shares of preferred stock, par value $0.001 per share (“</w:t>
      </w:r>
      <w:r>
        <w:rPr>
          <w:rFonts w:ascii="Times New Roman" w:hAnsi="Times New Roman"/>
          <w:b/>
          <w:sz w:val="20"/>
        </w:rPr>
        <w:t>Preferred Stock</w:t>
      </w:r>
      <w:r>
        <w:rPr>
          <w:rFonts w:ascii="Times New Roman" w:hAnsi="Times New Roman"/>
          <w:sz w:val="20"/>
        </w:rPr>
        <w:t>”). Effective upon the effectiveness of the filing of this Certificate of Incorporation with the Secretary of State of the State of Delaware (the “</w:t>
      </w:r>
      <w:r>
        <w:rPr>
          <w:rFonts w:ascii="Times New Roman" w:hAnsi="Times New Roman"/>
          <w:b/>
          <w:sz w:val="20"/>
        </w:rPr>
        <w:t>Reclassification Effective Time</w:t>
      </w:r>
      <w:r>
        <w:rPr>
          <w:rFonts w:ascii="Times New Roman" w:hAnsi="Times New Roman"/>
          <w:sz w:val="20"/>
        </w:rPr>
        <w:t>”), each share of common stock, par value $0.01 per share (the “</w:t>
      </w:r>
      <w:r>
        <w:rPr>
          <w:rFonts w:ascii="Times New Roman" w:hAnsi="Times New Roman"/>
          <w:b/>
          <w:sz w:val="20"/>
        </w:rPr>
        <w:t>Old Common Stock</w:t>
      </w:r>
      <w:r>
        <w:rPr>
          <w:rFonts w:ascii="Times New Roman" w:hAnsi="Times New Roman"/>
          <w:sz w:val="20"/>
        </w:rPr>
        <w:t xml:space="preserve">”), issued and outstanding immediately prior to the Reclassification Effective Time, shall automatically, without further action on the part of the Company or any holder of such Old Common Stock, be reclassified as and become one (1) validly issued, fully paid and non-assessable share of Class A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Sections 242(d)(1) or (d)(2) of the DGCL, the number of authorized shares of Common Stock or Preferred Stock may be increased or decreased (but not below the number of shares thereof then-outstanding plus, in the case of Class A Common Stock, the number of shares of Class A Common Stock issuable in connection with (x) the redemption or exchange of all outstanding Common Units (as defined below) corresponding to shares of Class B Common Stock, pursuant to the LLC Agreement (as defined below), and (y) the exercise of outstanding options, warrants, exchange rights, conversion rights or similar rights for Class A Common Stock) by the affirmative vote of the holders of a majority in voting power of the stock of the Company entitled to vote thereon irrespective of the provisions of Section 242(b)(2) of the DGCL (or any successor provision thereto), and no vote of the holders of either the Common Stock or the Preferred Stock voting separately as a class shall be required therefor, unless a vote of any such holder is required pursuant to this Amended and Restated Certificate of Incorporation (including any certificate of designation relating to any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4.2 Common Stock. The powers, preferences and rights of the Class A Common Stock and Class B Common Stock, and the qualifications, limitations or restrictions thereof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Except as otherwise provided in this Amended and Restated Certificate of Incorporation or otherwise required by applicable law, the holders of shares of Class A Common Stock and Class B Common Stock shall at all times vote together as one class on all matters (including the election of directors)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Each holder of Class A Common Stock shall be entitled to one vote for each share of Class A Common Stock held as of the applicable record date on any matter that is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(iii) Except as otherwise provided in this Amended and Restated Certificate of Incorporation or otherwise required by applicable law, each holder of Class B Common Stock shall be entitled to one vote for each share of Class B Common Stock held as of the applicable record date on any matter that is submitted to a vote or for the consent of the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The holders of shares of Class A Common Stock and Class B Common Stock shall not have cumulative voting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w:t>
      </w:r>
      <w:r>
        <w:rPr>
          <w:rFonts w:ascii="Times New Roman" w:hAnsi="Times New Roman"/>
          <w:sz w:val="20"/>
        </w:rPr>
        <w:t>. Subject to the preferences applicable to any series of Preferred Stock, if any, outstanding at any time, the holders of Class A Common Stock shall be entitled to share equally, on a per share basis, in such dividends and other distributions of cash, property or shares of stock of the Company as may be declared by the Board of Directors of the Company (the “</w:t>
      </w:r>
      <w:r>
        <w:rPr>
          <w:rFonts w:ascii="Times New Roman" w:hAnsi="Times New Roman"/>
          <w:b/>
          <w:sz w:val="20"/>
        </w:rPr>
        <w:t>Board</w:t>
      </w:r>
      <w:r>
        <w:rPr>
          <w:rFonts w:ascii="Times New Roman" w:hAnsi="Times New Roman"/>
          <w:sz w:val="20"/>
        </w:rPr>
        <w:t xml:space="preserve">”) from time to time with respect to the Common Stock out of assets or funds of the Company legally available therefor. Other than in connection with a dividend declared by the Board in connection with a “poison pill” or similar stockholder rights plan, dividends shall not be declared or paid on the Class B Common Stock and the holders of Class B Common Stock shall not be entitled to any dividends or other distributions of cash, property or shares of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Liquidation</w:t>
      </w:r>
      <w:r>
        <w:rPr>
          <w:rFonts w:ascii="Times New Roman" w:hAnsi="Times New Roman"/>
          <w:sz w:val="20"/>
        </w:rPr>
        <w:t xml:space="preserve">. Subject to the preferences applicable to any series of Preferred Stock, if any, outstanding at any time, in the event of the voluntary or involuntary liquidation, dissolution, distribution of assets or winding up of the Company, all assets of the Company of whatever kind available for distribution to the holders of Common Stock shall be divided among and paid ratably to the holders of Class A Common Stock. The holders of Class B Common Stock shall not be entitled to any assets of the Company of whatever kind available for distribution to the holders of Common Stock in the event of voluntary or involuntary liquidation, dissolution, distribution of assets or winding up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Preemptive or Subscription Rights</w:t>
      </w:r>
      <w:r>
        <w:rPr>
          <w:rFonts w:ascii="Times New Roman" w:hAnsi="Times New Roman"/>
          <w:sz w:val="20"/>
        </w:rPr>
        <w:t xml:space="preserve">. No holder of shares of Common Stock shall be entitled to preemptive or subscription rights. For the avoidance of doubt, the foregoing shall not restrict the Company from entering into an agreement providing for preemptive or subscription rights.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Split, Subdivision, Combination or Reclassification of Common Stock</w:t>
      </w:r>
      <w:r>
        <w:rPr>
          <w:rFonts w:ascii="Times New Roman" w:hAnsi="Times New Roman"/>
          <w:sz w:val="20"/>
        </w:rPr>
        <w:t xml:space="preserve">. In no event shall the shares of either Class A Common Stock or Class B Common Stock be split, subdivided, combined or reclassified, or a stock dividend paid upon either the Class A Common Stock or the Class B Common Stock, unless the outstanding shares of the other class shall be concurrently proportionately split, subdivided, combined or reclassified, or a stock dividend paid, in a manner that maintains the same proportionate equity ownership between the holders of the outstanding Class A Common Stock and Class B Common Stock on the record or effective date for such split, division or combination, reclassification or payment of stock dividend, unless, in each case, such action is necessary to maintain at all times a one-to-one ratio between either the number of Common Units owned, directly or indirectly, by the Company and the number of shares of Class A Common Stock or the number of Common Units owned by holders thereof (other than the Company and its subsidiaries) and the number of outstanding shares of Class B Common Stock. This </w:t>
      </w:r>
      <w:r>
        <w:rPr>
          <w:rFonts w:ascii="Times New Roman" w:hAnsi="Times New Roman"/>
          <w:sz w:val="20"/>
          <w:u w:val="single"/>
        </w:rPr>
        <w:t>Section 4.2(e)</w:t>
      </w:r>
      <w:r>
        <w:rPr>
          <w:rFonts w:ascii="Times New Roman" w:hAnsi="Times New Roman"/>
          <w:sz w:val="20"/>
        </w:rPr>
        <w:t xml:space="preserve"> shall be applied to maintain at all times (i) a one-to-one ratio between the number of Common Units owned, directly or indirectly, by the Company and the number of outstanding shares of Class A Common Stock or (ii) a one-to-one ratio between the number of Common Units owned by holders thereof (other than the Company and its subsidiaries) and the number of outstanding shares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Shares Reserved for Issuance</w:t>
      </w:r>
      <w:r>
        <w:rPr>
          <w:rFonts w:ascii="Times New Roman" w:hAnsi="Times New Roman"/>
          <w:sz w:val="20"/>
        </w:rPr>
        <w:t xml:space="preserve">. The Company shall at all times reserve and keep available out of its authorized but unissued shares of Class A Common Stock, such number of shares of Class A Common Stock that shall from time to time be sufficient to effect the exchange of all outstanding Common Units (excluding those Common Units held by the Company) (which shall be accompanied by the cancellation of corresponding shares of Class B Common Stock) for shares of Class A Common Stock pursuant to the terms of the LLC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contained in this </w:t>
      </w:r>
      <w:r>
        <w:rPr>
          <w:rFonts w:ascii="Times New Roman" w:hAnsi="Times New Roman"/>
          <w:sz w:val="20"/>
          <w:u w:val="single"/>
        </w:rPr>
        <w:t>Section 4.2(f)</w:t>
      </w:r>
      <w:r>
        <w:rPr>
          <w:rFonts w:ascii="Times New Roman" w:hAnsi="Times New Roman"/>
          <w:sz w:val="20"/>
        </w:rPr>
        <w:t xml:space="preserve"> shall be construed to preclude the Company from satisfying its obligations in respect of the exchange of Common Units by delivery of shares of Class A Common Stock that are held in the treasury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From and after the effectiveness of this Amended and Restated Certificate of Incorporation with the Secretary of State of the State of Delaware (the “</w:t>
      </w:r>
      <w:r>
        <w:rPr>
          <w:rFonts w:ascii="Times New Roman" w:hAnsi="Times New Roman"/>
          <w:b/>
          <w:sz w:val="20"/>
        </w:rPr>
        <w:t>Effective Time</w:t>
      </w:r>
      <w:r>
        <w:rPr>
          <w:rFonts w:ascii="Times New Roman" w:hAnsi="Times New Roman"/>
          <w:sz w:val="20"/>
        </w:rPr>
        <w:t xml:space="preserve">”), shares of Class B Common Stock may be issued only to, and registered only in the name of, the Existing Opco LLC Owners (as defined below), their respective successors and assigns as well as their Permitted Transferees (as defined below) in accordance with this </w:t>
      </w:r>
      <w:r>
        <w:rPr>
          <w:rFonts w:ascii="Times New Roman" w:hAnsi="Times New Roman"/>
          <w:sz w:val="20"/>
          <w:u w:val="single"/>
        </w:rPr>
        <w:t>Section 4.2</w:t>
      </w:r>
      <w:r>
        <w:rPr>
          <w:rFonts w:ascii="Times New Roman" w:hAnsi="Times New Roman"/>
          <w:sz w:val="20"/>
        </w:rPr>
        <w:t xml:space="preserve"> (including all subsequent successors, assigns and Permitted Transferees) (the Existing Opco LLC Owners together with such Persons (as defined below), collectively, the “</w:t>
      </w:r>
      <w:r>
        <w:rPr>
          <w:rFonts w:ascii="Times New Roman" w:hAnsi="Times New Roman"/>
          <w:b/>
          <w:sz w:val="20"/>
        </w:rPr>
        <w:t>Permitted Class</w:t>
      </w:r>
      <w:r>
        <w:rPr>
          <w:rFonts w:ascii="Times New Roman" w:hAnsi="Times New Roman"/>
          <w:sz w:val="20"/>
        </w:rPr>
        <w:t> </w:t>
      </w:r>
      <w:r>
        <w:rPr>
          <w:rFonts w:ascii="Times New Roman" w:hAnsi="Times New Roman"/>
          <w:b/>
          <w:sz w:val="20"/>
        </w:rPr>
        <w:t>B Owners</w:t>
      </w:r>
      <w:r>
        <w:rPr>
          <w:rFonts w:ascii="Times New Roman" w:hAnsi="Times New Roman"/>
          <w:sz w:val="20"/>
        </w:rPr>
        <w:t>”) and the aggregate number of shares of Class B Common Stock at any time registered in the name of each such Permitted Class B Owner must be equal to the aggregate number of Common Units (as defined below) held of record at such time by such Permitted Class B Owner under the LLC Agreement (as defined below). As used in this Amended and Restated Certificate of Incorporation, (A) “</w:t>
      </w:r>
      <w:r>
        <w:rPr>
          <w:rFonts w:ascii="Times New Roman" w:hAnsi="Times New Roman"/>
          <w:b/>
          <w:sz w:val="20"/>
        </w:rPr>
        <w:t>Existing Opco LLC Owner</w:t>
      </w:r>
      <w:r>
        <w:rPr>
          <w:rFonts w:ascii="Times New Roman" w:hAnsi="Times New Roman"/>
          <w:sz w:val="20"/>
        </w:rPr>
        <w:t>” means each of the holders of Common Units (other than the Company and its subsidiaries) of ITG Parent LLC, as set forth on Schedule 2 of the LLC Agreement (as such Schedule 2 may be amended from time to time in accordance with the LLC Agreement), (B) “</w:t>
      </w:r>
      <w:r>
        <w:rPr>
          <w:rFonts w:ascii="Times New Roman" w:hAnsi="Times New Roman"/>
          <w:b/>
          <w:sz w:val="20"/>
        </w:rPr>
        <w:t>Common Unit</w:t>
      </w:r>
      <w:r>
        <w:rPr>
          <w:rFonts w:ascii="Times New Roman" w:hAnsi="Times New Roman"/>
          <w:sz w:val="20"/>
        </w:rPr>
        <w:t>” means a membership interest in ITG Parent LLC, authorized and issued under the Second Amended and Restated Limited Liability Company Agreement of ITG Parent LLC, dated on or about the date hereof, as such agreement may be further amended, restated, amended and restated, supplemented or otherwise modified from time to time (the “</w:t>
      </w:r>
      <w:r>
        <w:rPr>
          <w:rFonts w:ascii="Times New Roman" w:hAnsi="Times New Roman"/>
          <w:b/>
          <w:sz w:val="20"/>
        </w:rPr>
        <w:t>LLC Agreement</w:t>
      </w:r>
      <w:r>
        <w:rPr>
          <w:rFonts w:ascii="Times New Roman" w:hAnsi="Times New Roman"/>
          <w:sz w:val="20"/>
        </w:rPr>
        <w:t>”), and constituting a “Common Unit” as defined in such LLC Agreement, and (C) “</w:t>
      </w:r>
      <w:r>
        <w:rPr>
          <w:rFonts w:ascii="Times New Roman" w:hAnsi="Times New Roman"/>
          <w:b/>
          <w:sz w:val="20"/>
        </w:rPr>
        <w:t>Permitted Transferee</w:t>
      </w:r>
      <w:r>
        <w:rPr>
          <w:rFonts w:ascii="Times New Roman" w:hAnsi="Times New Roman"/>
          <w:sz w:val="20"/>
        </w:rPr>
        <w:t xml:space="preserve">” has the meaning given to it in the LLC Agreement. </w:t>
      </w:r>
    </w:p>
    <w:p>
      <w:pPr>
        <w:pStyle w:val="TextBody"/>
        <w:bidi w:val="0"/>
        <w:spacing w:before="120" w:after="0"/>
        <w:jc w:val="left"/>
        <w:rPr>
          <w:rFonts w:ascii="Times New Roman" w:hAnsi="Times New Roman"/>
          <w:sz w:val="20"/>
        </w:rPr>
      </w:pPr>
      <w:r>
        <w:rPr>
          <w:rFonts w:ascii="Times New Roman" w:hAnsi="Times New Roman"/>
          <w:sz w:val="20"/>
        </w:rPr>
        <w:t xml:space="preserve">(ii) The Company shall, to the fullest extent permitted by law, undertake all necessary and appropriate action to ensure that the number of shares of Class B Common Stock issued by the Company at any time to, or otherwise held of record by, any Permitted Class B Owner shall be equal to the aggregate number of Common Units held of record by such Permitted Class B Owner in accordance with the terms of the LLC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Transfer of Class B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 holder of Class B Common Stock may surrender shares of Class B Common Stock to the Company for cancellation for no consideration at any time. Following the surrender, or other acquisition, of any shares of Class B Common Stock to or by the Company, the Company will take all actions necessary to cancel and retire such shares and such shares shall not be reissued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4.3(a)</w:t>
      </w:r>
      <w:r>
        <w:rPr>
          <w:rFonts w:ascii="Times New Roman" w:hAnsi="Times New Roman"/>
          <w:sz w:val="20"/>
        </w:rPr>
        <w:t xml:space="preserve"> above, a holder of Class B Common Stock may transfer or assign shares of Class B Common Stock (or any legal or beneficial interest in such shares) (directly or indirectly, including by operation of law) only to a Permitted Transferee of such holder, and only if such holder also simultaneously transfers an equal number of such holder’s Common Units to such Permitted Transferee in compliance with the LLC Agreement. The transfer restrictions described in this </w:t>
      </w:r>
      <w:r>
        <w:rPr>
          <w:rFonts w:ascii="Times New Roman" w:hAnsi="Times New Roman"/>
          <w:sz w:val="20"/>
          <w:u w:val="single"/>
        </w:rPr>
        <w:t>Section 4.3(b)</w:t>
      </w:r>
      <w:r>
        <w:rPr>
          <w:rFonts w:ascii="Times New Roman" w:hAnsi="Times New Roman"/>
          <w:sz w:val="20"/>
        </w:rPr>
        <w:t xml:space="preserve"> are referred to as the “</w:t>
      </w:r>
      <w:r>
        <w:rPr>
          <w:rFonts w:ascii="Times New Roman" w:hAnsi="Times New Roman"/>
          <w:b/>
          <w:sz w:val="20"/>
        </w:rPr>
        <w:t>Restrictions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(c) Any purported transfer of shares of Class B Common Stock in violation of the Restrictions shall be null and void. If, notwithstanding the Restrictions, a Person shall, voluntarily or involuntarily, purportedly become or attempt to become, the purported owner (“</w:t>
      </w:r>
      <w:r>
        <w:rPr>
          <w:rFonts w:ascii="Times New Roman" w:hAnsi="Times New Roman"/>
          <w:b/>
          <w:sz w:val="20"/>
        </w:rPr>
        <w:t>Purported Owner</w:t>
      </w:r>
      <w:r>
        <w:rPr>
          <w:rFonts w:ascii="Times New Roman" w:hAnsi="Times New Roman"/>
          <w:sz w:val="20"/>
        </w:rPr>
        <w:t>”) of shares of Class B Common Stock in violation of the Restrictions, then the Purported Owner shall not obtain any rights in, to or with respect to such shares of Class B Common Stock (the “</w:t>
      </w:r>
      <w:r>
        <w:rPr>
          <w:rFonts w:ascii="Times New Roman" w:hAnsi="Times New Roman"/>
          <w:b/>
          <w:sz w:val="20"/>
        </w:rPr>
        <w:t>Restricted Shares</w:t>
      </w:r>
      <w:r>
        <w:rPr>
          <w:rFonts w:ascii="Times New Roman" w:hAnsi="Times New Roman"/>
          <w:sz w:val="20"/>
        </w:rPr>
        <w:t>”), and the purported transfer of the Restricted Shares to the Purported Owner shall not be recognized by the Company, the Company’s transfer agent (the “</w:t>
      </w:r>
      <w:r>
        <w:rPr>
          <w:rFonts w:ascii="Times New Roman" w:hAnsi="Times New Roman"/>
          <w:b/>
          <w:sz w:val="20"/>
        </w:rPr>
        <w:t>Transfer Agent</w:t>
      </w:r>
      <w:r>
        <w:rPr>
          <w:rFonts w:ascii="Times New Roman" w:hAnsi="Times New Roman"/>
          <w:sz w:val="20"/>
        </w:rPr>
        <w:t xml:space="preserve">”) or the Secretary of the Company, and each Restricted Share shall, to the fullest extent permitted by law, automatically, without any further action on the part of the Company, the holder thereof, the Purported Owner or any other party, lose all voting rights as set forth herein and become a non-voting share. </w:t>
      </w:r>
    </w:p>
    <w:p>
      <w:pPr>
        <w:pStyle w:val="TextBody"/>
        <w:bidi w:val="0"/>
        <w:spacing w:before="240" w:after="0"/>
        <w:jc w:val="left"/>
        <w:rPr>
          <w:rFonts w:ascii="Times New Roman" w:hAnsi="Times New Roman"/>
          <w:sz w:val="20"/>
        </w:rPr>
      </w:pPr>
      <w:r>
        <w:rPr>
          <w:rFonts w:ascii="Times New Roman" w:hAnsi="Times New Roman"/>
          <w:sz w:val="20"/>
        </w:rPr>
        <w:t xml:space="preserve">(d) Upon a determination by the Board that a Person has attempted or may attempt to transfer or to acquire Restricted Shares in violation of the Restrictions, the Company may take such action as it deems advisable to refuse to give effect to such transfer or acquisition on the books and records of the Company, including without limitation (i) to cause the Transfer Agent or the Secretary of the Company, as applicable, to not record the Purported Owner as the record owner of the Restricted Shares, (ii) to institute proceedings to enjoin or rescind any such transfer or acquisition, and (iii) to cause the Transfer Agent or the Secretary of the Company to transfer such Restricted Shares to the Company and thereafter cause such Restricted Shares to be canceled and retired. </w:t>
      </w:r>
    </w:p>
    <w:p>
      <w:pPr>
        <w:pStyle w:val="TextBody"/>
        <w:bidi w:val="0"/>
        <w:spacing w:before="240" w:after="0"/>
        <w:jc w:val="left"/>
        <w:rPr>
          <w:rFonts w:ascii="Times New Roman" w:hAnsi="Times New Roman"/>
          <w:sz w:val="20"/>
        </w:rPr>
      </w:pPr>
      <w:r>
        <w:rPr>
          <w:rFonts w:ascii="Times New Roman" w:hAnsi="Times New Roman"/>
          <w:sz w:val="20"/>
        </w:rPr>
        <w:t xml:space="preserve">(e) The Board may, to the extent permitted by law, from time to time establish, modify, amend or rescind, by bylaw or otherwise, regulations and procedures not inconsistent with the provisions of this </w:t>
      </w:r>
      <w:r>
        <w:rPr>
          <w:rFonts w:ascii="Times New Roman" w:hAnsi="Times New Roman"/>
          <w:sz w:val="20"/>
          <w:u w:val="single"/>
        </w:rPr>
        <w:t>Section 4.3</w:t>
      </w:r>
      <w:r>
        <w:rPr>
          <w:rFonts w:ascii="Times New Roman" w:hAnsi="Times New Roman"/>
          <w:sz w:val="20"/>
        </w:rPr>
        <w:t xml:space="preserve"> for determining whether any transfer or acquisition of shares of Class B Common Stock would violate the Restrictions and for the orderly application, administration and implementation of the provisions of this </w:t>
      </w:r>
      <w:r>
        <w:rPr>
          <w:rFonts w:ascii="Times New Roman" w:hAnsi="Times New Roman"/>
          <w:sz w:val="20"/>
          <w:u w:val="single"/>
        </w:rPr>
        <w:t>Section 4.3</w:t>
      </w:r>
      <w:r>
        <w:rPr>
          <w:rFonts w:ascii="Times New Roman" w:hAnsi="Times New Roman"/>
          <w:sz w:val="20"/>
        </w:rPr>
        <w:t xml:space="preserve">. Any such procedures and regulations shall be kept on file with the Secretary of the Company and with the Transfer Agent and shall be made available for inspection by and, upon written request shall be mailed to, holders of shares of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(f) All certificates or book entries representing shares of Class B Common Stock shall bear a legend substantially in the following form (or in such other form as the Board may determine): THESE SECURITIES REPRESENTED BY THIS [CERTIFICATE][BOOK ENTRY] ARE SUBJECT TO THE RESTRICTIONS (INCLUDING RESTRICTIONS ON TRANSFER) SET FORTH IN THE AMENDED AND RESTATED CERTIFICATE OF INCORPORATION OF THE COMPANY AS IT MAY BE AMENDED AND/OR RESTATED (A COPY OF WHICH IS ON FILE WITH THE SECRETARY OF THE COMPANY AND SHALL BE PROVIDED FREE OF CHARGE TO ANY STOCKHOLDER MAKING A REQUEST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Preferred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Preferred Stock may be issued from time to time by the Company for such consideration as may be fixed by the Board. The Board is hereby expressly authorized, by resolution or resolutions, to provide, out of the unissued shares of Preferred Stock, for one or more series of Preferred Stock and, with respect to each such series, to fix, without further stockholder approval, the designation of such series, the powers (including voting powers), preferences and relative, participating, optional and other special rights, and the qualifications, limitations or restrictions thereof, of such series of Preferred Stock and the number of shares of such series, and as may be permitted by the DGCL. The powers, preferences and relative, participating, optional and other special rights of, and the qualifications, limitations or restrictions thereof, of each series of Preferred Stock, if any, may differ from those of any and all other series at any time outstanding. </w:t>
      </w:r>
    </w:p>
    <w:p>
      <w:pPr>
        <w:pStyle w:val="TextBody"/>
        <w:bidi w:val="0"/>
        <w:spacing w:before="240" w:after="0"/>
        <w:jc w:val="left"/>
        <w:rPr>
          <w:rFonts w:ascii="Times New Roman" w:hAnsi="Times New Roman"/>
          <w:sz w:val="20"/>
        </w:rPr>
      </w:pPr>
      <w:r>
        <w:rPr>
          <w:rFonts w:ascii="Times New Roman" w:hAnsi="Times New Roman"/>
          <w:sz w:val="20"/>
        </w:rPr>
        <w:t xml:space="preserve">(b)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Amended and Restated Certificate of Incorporation (including any certificate of designation relating to any series of Preferred Stock) or pursuant to the DGCL. </w:t>
      </w:r>
    </w:p>
    <w:p>
      <w:pPr>
        <w:pStyle w:val="TextBody"/>
        <w:bidi w:val="0"/>
        <w:spacing w:before="240" w:after="0"/>
        <w:jc w:val="left"/>
        <w:rPr>
          <w:rFonts w:ascii="Times New Roman" w:hAnsi="Times New Roman"/>
          <w:sz w:val="20"/>
        </w:rPr>
      </w:pPr>
      <w:r>
        <w:rPr>
          <w:rFonts w:ascii="Times New Roman" w:hAnsi="Times New Roman"/>
          <w:sz w:val="20"/>
        </w:rPr>
        <w:t xml:space="preserve">(c) Except as otherwise required by law, holders of any series of Preferred Stock shall be entitled to only such voting rights, if any, as shall expressly be granted thereto by this Amended and Restated Certificate of Incorporation (including any certificate of designation relating to such series of Preferred Stock).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OF THE CERTIFICATE OF INCORPORATION AND BYLAWS </w:t>
      </w:r>
    </w:p>
    <w:p>
      <w:pPr>
        <w:pStyle w:val="TextBody"/>
        <w:bidi w:val="0"/>
        <w:spacing w:before="240" w:after="0"/>
        <w:jc w:val="left"/>
        <w:rPr>
          <w:rFonts w:ascii="Times New Roman" w:hAnsi="Times New Roman"/>
          <w:sz w:val="20"/>
        </w:rPr>
      </w:pPr>
      <w:r>
        <w:rPr>
          <w:rFonts w:ascii="Times New Roman" w:hAnsi="Times New Roman"/>
          <w:sz w:val="20"/>
        </w:rPr>
        <w:t>(a) Notwithstanding anything contained in this Amended and Restated Certificate of Incorporation to the contrary and subject to the terms of the Stockholders Agreement, from and after the date on which the Investor (as defined below) ceases to beneficially own at least 40% of the voting power of the outstanding shares of Common Stock (the “</w:t>
      </w:r>
      <w:r>
        <w:rPr>
          <w:rFonts w:ascii="Times New Roman" w:hAnsi="Times New Roman"/>
          <w:b/>
          <w:sz w:val="20"/>
        </w:rPr>
        <w:t>Trigger Event</w:t>
      </w:r>
      <w:r>
        <w:rPr>
          <w:rFonts w:ascii="Times New Roman" w:hAnsi="Times New Roman"/>
          <w:sz w:val="20"/>
        </w:rPr>
        <w:t xml:space="preserve">”), the following provisions in this Amended and Restated Certificate of Incorporation may be amended, altered, repealed or rescinded, in whole or in part, or any provision inconsistent therewith or herewith may be adopted, only by the affirmative vote of the holders of at least 66 2/3% in voting power of all the then-outstanding shares of Common Stock entitled to vote thereon, with holders of Class A Common Stock and Class B Common Stock voting together as a single class: </w:t>
      </w:r>
      <w:r>
        <w:rPr>
          <w:rFonts w:ascii="Times New Roman" w:hAnsi="Times New Roman"/>
          <w:sz w:val="20"/>
          <w:u w:val="single"/>
        </w:rPr>
        <w:t>Article V</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w:t>
      </w:r>
      <w:r>
        <w:rPr>
          <w:rFonts w:ascii="Times New Roman" w:hAnsi="Times New Roman"/>
          <w:sz w:val="20"/>
          <w:u w:val="single"/>
        </w:rPr>
        <w:t>Article VIII</w:t>
      </w:r>
      <w:r>
        <w:rPr>
          <w:rFonts w:ascii="Times New Roman" w:hAnsi="Times New Roman"/>
          <w:sz w:val="20"/>
        </w:rPr>
        <w:t xml:space="preserve">, </w:t>
      </w:r>
      <w:r>
        <w:rPr>
          <w:rFonts w:ascii="Times New Roman" w:hAnsi="Times New Roman"/>
          <w:sz w:val="20"/>
          <w:u w:val="single"/>
        </w:rPr>
        <w:t>Article IX</w:t>
      </w:r>
      <w:r>
        <w:rPr>
          <w:rFonts w:ascii="Times New Roman" w:hAnsi="Times New Roman"/>
          <w:sz w:val="20"/>
        </w:rPr>
        <w:t xml:space="preserve">, </w:t>
      </w:r>
      <w:r>
        <w:rPr>
          <w:rFonts w:ascii="Times New Roman" w:hAnsi="Times New Roman"/>
          <w:sz w:val="20"/>
          <w:u w:val="single"/>
        </w:rPr>
        <w:t>Article X</w:t>
      </w:r>
      <w:r>
        <w:rPr>
          <w:rFonts w:ascii="Times New Roman" w:hAnsi="Times New Roman"/>
          <w:sz w:val="20"/>
        </w:rPr>
        <w:t xml:space="preserve"> and clause (b) of </w:t>
      </w:r>
      <w:r>
        <w:rPr>
          <w:rFonts w:ascii="Times New Roman" w:hAnsi="Times New Roman"/>
          <w:sz w:val="20"/>
          <w:u w:val="single"/>
        </w:rPr>
        <w:t>Article XI</w:t>
      </w:r>
      <w:r>
        <w:rPr>
          <w:rFonts w:ascii="Times New Roman" w:hAnsi="Times New Roman"/>
          <w:sz w:val="20"/>
        </w:rPr>
        <w:t>. For the purposes of this Amended and Restated Certificate of Incorporation, beneficial ownership of shares shall be determined in accordance with Rule 13d-3 promulgated under the Securities Exchange Act of 1934, as amended (the “</w:t>
      </w:r>
      <w:r>
        <w:rPr>
          <w:rFonts w:ascii="Times New Roman" w:hAnsi="Times New Roman"/>
          <w:b/>
          <w:sz w:val="20"/>
        </w:rPr>
        <w:t>Exchange Act</w:t>
      </w:r>
      <w:r>
        <w:rPr>
          <w:rFonts w:ascii="Times New Roman" w:hAnsi="Times New Roman"/>
          <w:sz w:val="20"/>
        </w:rPr>
        <w:t xml:space="preserve">”). Notwithstanding the foregoing, any amendment (including by merger, consolidation or otherwise) to this Amended and Restated Certificate of Incorporation that gives holders of the Class B Common Stock (i) any rights to receive dividends or any other kind of distribution other than in connection with a liquidation, dissolution or winding up pursuant to </w:t>
      </w:r>
      <w:r>
        <w:rPr>
          <w:rFonts w:ascii="Times New Roman" w:hAnsi="Times New Roman"/>
          <w:sz w:val="20"/>
          <w:u w:val="single"/>
        </w:rPr>
        <w:t>Section 4.2(c)</w:t>
      </w:r>
      <w:r>
        <w:rPr>
          <w:rFonts w:ascii="Times New Roman" w:hAnsi="Times New Roman"/>
          <w:sz w:val="20"/>
        </w:rPr>
        <w:t xml:space="preserve">, (ii) any right to convert into or be exchanged for Class A Common Stock or (iii) any other economic rights shall, in addition to the requirements set forth herein, also require the affirmative vote of at least a majority of shares of Class A Common Stock voting separately as a class. For the purposes of this Amended and Restated Certificate of Incorporation, except for </w:t>
      </w:r>
      <w:r>
        <w:rPr>
          <w:rFonts w:ascii="Times New Roman" w:hAnsi="Times New Roman"/>
          <w:sz w:val="20"/>
          <w:u w:val="single"/>
        </w:rPr>
        <w:t>Article IX</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(w) “</w:t>
      </w:r>
      <w:r>
        <w:rPr>
          <w:rFonts w:ascii="Times New Roman" w:hAnsi="Times New Roman"/>
          <w:b/>
          <w:sz w:val="20"/>
        </w:rPr>
        <w:t>Affiliate</w:t>
      </w:r>
      <w:r>
        <w:rPr>
          <w:rFonts w:ascii="Times New Roman" w:hAnsi="Times New Roman"/>
          <w:sz w:val="20"/>
        </w:rPr>
        <w:t xml:space="preserve">” shall mean, with respect to any Person, any Person directly or indirectly controlling, controlled by or under common control with such Person (provided, for the avoidance of doubt, solely for the purposes of this Amended and Restated Certificate of Incorporation (except for </w:t>
      </w:r>
      <w:r>
        <w:rPr>
          <w:rFonts w:ascii="Times New Roman" w:hAnsi="Times New Roman"/>
          <w:sz w:val="20"/>
          <w:u w:val="single"/>
        </w:rPr>
        <w:t>Article IX</w:t>
      </w:r>
      <w:r>
        <w:rPr>
          <w:rFonts w:ascii="Times New Roman" w:hAnsi="Times New Roman"/>
          <w:sz w:val="20"/>
        </w:rPr>
        <w:t xml:space="preserve"> or </w:t>
      </w:r>
      <w:r>
        <w:rPr>
          <w:rFonts w:ascii="Times New Roman" w:hAnsi="Times New Roman"/>
          <w:sz w:val="20"/>
          <w:u w:val="single"/>
        </w:rPr>
        <w:t>Article X</w:t>
      </w:r>
      <w:r>
        <w:rPr>
          <w:rFonts w:ascii="Times New Roman" w:hAnsi="Times New Roman"/>
          <w:sz w:val="20"/>
        </w:rPr>
        <w:t>), Affiliates of the Investor shall include its employees in their capacities as such but shall exclude advisors, consultants, operating partners and similar service providers); (x) “</w:t>
      </w:r>
      <w:r>
        <w:rPr>
          <w:rFonts w:ascii="Times New Roman" w:hAnsi="Times New Roman"/>
          <w:b/>
          <w:sz w:val="20"/>
        </w:rPr>
        <w:t>Person</w:t>
      </w:r>
      <w:r>
        <w:rPr>
          <w:rFonts w:ascii="Times New Roman" w:hAnsi="Times New Roman"/>
          <w:sz w:val="20"/>
        </w:rPr>
        <w:t>” shall mean any individual, corporation, limited liability company, limited or general partnership, joint venture, association, joint-stock company, trust, unincorporated organization or other entity, whether domestic or foreign; (y) “</w:t>
      </w:r>
      <w:r>
        <w:rPr>
          <w:rFonts w:ascii="Times New Roman" w:hAnsi="Times New Roman"/>
          <w:b/>
          <w:sz w:val="20"/>
        </w:rPr>
        <w:t>control</w:t>
      </w:r>
      <w:r>
        <w:rPr>
          <w:rFonts w:ascii="Times New Roman" w:hAnsi="Times New Roman"/>
          <w:sz w:val="20"/>
        </w:rPr>
        <w:t>” (including the terms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with respect to the relationship between or among two or more Persons, shall mean the possession, directly or indirectly, of the power to direct or cause the direction of the affairs or management of a Person, whether through the ownership of voting securities, by contract or otherwise; and (z) “</w:t>
      </w:r>
      <w:r>
        <w:rPr>
          <w:rFonts w:ascii="Times New Roman" w:hAnsi="Times New Roman"/>
          <w:b/>
          <w:sz w:val="20"/>
        </w:rPr>
        <w:t>Investor</w:t>
      </w:r>
      <w:r>
        <w:rPr>
          <w:rFonts w:ascii="Times New Roman" w:hAnsi="Times New Roman"/>
          <w:sz w:val="20"/>
        </w:rPr>
        <w:t xml:space="preserve">” shall mean any of Oaktree Capital Management L.P. and its Affiliates (including ITG Management Holdings, LLC).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The Board is expressly authorized to make, repeal, alter, amend and rescind, in whole or in part, the amended and restated bylaws of the Company (as in effect from time to time, the “</w:t>
      </w:r>
      <w:r>
        <w:rPr>
          <w:rFonts w:ascii="Times New Roman" w:hAnsi="Times New Roman"/>
          <w:b/>
          <w:sz w:val="20"/>
        </w:rPr>
        <w:t>Bylaws</w:t>
      </w:r>
      <w:r>
        <w:rPr>
          <w:rFonts w:ascii="Times New Roman" w:hAnsi="Times New Roman"/>
          <w:sz w:val="20"/>
        </w:rPr>
        <w:t xml:space="preserve">”) without the assent or vote of the stockholders in any manner not inconsistent with the laws of the State of Delaware or this Amended and Restated Certificate of Incorporation and subject to the terms of the Stockholders Agreement. Before the Trigger Event, the affirmative vote of the holders of a majority in voting power of all the then-outstanding shares of Common Stock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Notwithstanding anything to the contrary contained in this Amended and Restated Certificate of Incorporation or any provision of law which might otherwise permit a lesser vote of the stockholders, from and after the Trigger Event, in addition to any vote of the holders of any class or series of capital stock of the Company required herein (including any certificate of designation relating to any series of Preferred Stock), or pursuant to the Bylaws or applicable law, the affirmative vote of the holders of at least 66 2/3% in voting power of all the then-outstanding shares of Common Stock of the Company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 Bylaw hereafter legally altered, amended or repealed shall invalidate any prior act of the directors or officers of the Company that would have been valid if such Bylaw had not been altered, amended or repealed.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(a) Except as otherwise provided in this Amended and Restated Certificate of Incorporation or the DGCL, the business and affairs of the Company shall be managed by or under the direction of the Board. Except as otherwise provided for or fixed pursuant to the provisions of </w:t>
      </w:r>
      <w:r>
        <w:rPr>
          <w:rFonts w:ascii="Times New Roman" w:hAnsi="Times New Roman"/>
          <w:sz w:val="20"/>
          <w:u w:val="single"/>
        </w:rPr>
        <w:t>Article IV</w:t>
      </w:r>
      <w:r>
        <w:rPr>
          <w:rFonts w:ascii="Times New Roman" w:hAnsi="Times New Roman"/>
          <w:sz w:val="20"/>
        </w:rPr>
        <w:t xml:space="preserve"> hereof (including any certificate of designation with respect to any series of Preferred Stock) and this </w:t>
      </w:r>
      <w:r>
        <w:rPr>
          <w:rFonts w:ascii="Times New Roman" w:hAnsi="Times New Roman"/>
          <w:sz w:val="20"/>
          <w:u w:val="single"/>
        </w:rPr>
        <w:t>Article VI</w:t>
      </w:r>
      <w:r>
        <w:rPr>
          <w:rFonts w:ascii="Times New Roman" w:hAnsi="Times New Roman"/>
          <w:sz w:val="20"/>
        </w:rPr>
        <w:t xml:space="preserve"> relating to the rights of the holders of any series of Preferred Stock to elect additional directors, and subject to the applicable requirements of the Stockholders Agreement, dated on or about the date hereof, by and among the Company and certain stockholders of the Company from time to time party thereto (as the same may be amended, restated, supplemented and/or otherwise modified from time to time in accordance with its terms, the “</w:t>
      </w:r>
      <w:r>
        <w:rPr>
          <w:rFonts w:ascii="Times New Roman" w:hAnsi="Times New Roman"/>
          <w:b/>
          <w:sz w:val="20"/>
        </w:rPr>
        <w:t>Stockholders Agreement</w:t>
      </w:r>
      <w:r>
        <w:rPr>
          <w:rFonts w:ascii="Times New Roman" w:hAnsi="Times New Roman"/>
          <w:sz w:val="20"/>
        </w:rPr>
        <w:t>”), the total number of directors constituting the whole Board shall be determined from time to time exclusively by resolution adopted by the Board or as provided in the Stockholders Agreement.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shall initially serve for a term expiring at the first annual meeting of stockholders following the date the Common Stock is first publicly traded (the “</w:t>
      </w:r>
      <w:r>
        <w:rPr>
          <w:rFonts w:ascii="Times New Roman" w:hAnsi="Times New Roman"/>
          <w:b/>
          <w:sz w:val="20"/>
        </w:rPr>
        <w:t>IPO Date</w:t>
      </w:r>
      <w:r>
        <w:rPr>
          <w:rFonts w:ascii="Times New Roman" w:hAnsi="Times New Roman"/>
          <w:sz w:val="20"/>
        </w:rPr>
        <w:t xml:space="preserve">”), Class II directors shall initially serve for a term expiring at the second annual meeting of stockholders following the IPO Date and Class III directors shall initially serve for a term expiring at the third annual meeting of stockholders following the IPO Date. Subject to the rights granted to the holders of any one or more series of Preferred Stock then outstanding, the directors shall be elected by a plurality of the votes cast.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and any such additional director of any class elected to fill a newly created directorship resulting from an increase in such class shall hold office for a term that shall coincide with the remaining term of that class, but in no case shall a decrease in the number of directors remove or shorten the term of any incumbent director. Any such director shall hold office until the annual meeting at which his or her term expires and until his or her successor shall be elected and qualified, or his or her earlier death, resignation, retirement, disqualification or removal from office. Subject to the applicable requirements of the Stockholders Agreement and applicable law, the Board is authorized to assign members of the Board to their respective class.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rights granted to the holders of any one or more series of Preferred Stock then outstanding and the terms of the Stockholders Agreement, any newly-created directorship on the Board that results from an increase in the number of directors and any vacancy occurring in the Board (whether by death, resignation, retirement, disqualification, removal or other cause) shall be filled by a majority of the directors then in office (other than directors elected by the holders of any series of Preferred Stock, voting separately as a series or together with one or more series, as the case may be), even if less than a quorum, or by a sole remaining director or by the stockholders; </w:t>
      </w:r>
      <w:r>
        <w:rPr>
          <w:rFonts w:ascii="Times New Roman" w:hAnsi="Times New Roman"/>
          <w:i/>
          <w:sz w:val="20"/>
        </w:rPr>
        <w:t>provided, however,</w:t>
      </w:r>
      <w:r>
        <w:rPr>
          <w:rFonts w:ascii="Times New Roman" w:hAnsi="Times New Roman"/>
          <w:sz w:val="20"/>
        </w:rPr>
        <w:t xml:space="preserve"> that, subject to the rights granted to holders of any one or more series of Preferred Stock then outstanding and the terms of the Stockholders Agreement, from and after the Trigger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newly-created directorship on the Board that results from an increase in the number of directors and any vacancy occurring on the Board shall be filled only by a majority of the directors then in office (other than directors elected by the holders of any series of Preferred Stock, voting separately as a series or together with one or more series, as the case may be), even if less than a quorum, or by a sole remaining director (and not by the stockholders).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of the Stockholders Agreement, any or all of the directors (other than the directors elected by the holders of any series of Preferred Stock of the Company, voting separately as a series or together with one or more other such series, as the case may be) may be removed at any time either with or without cause by the affirmative vote of a majority in voting power of all outstanding shares of Common Stock entitled to vote thereon, with both Class A and Class B Common Stock holders voting together as a single class; </w:t>
      </w:r>
      <w:r>
        <w:rPr>
          <w:rFonts w:ascii="Times New Roman" w:hAnsi="Times New Roman"/>
          <w:i/>
          <w:sz w:val="20"/>
        </w:rPr>
        <w:t>provided, however</w:t>
      </w:r>
      <w:r>
        <w:rPr>
          <w:rFonts w:ascii="Times New Roman" w:hAnsi="Times New Roman"/>
          <w:sz w:val="20"/>
        </w:rPr>
        <w:t xml:space="preserve">, that from and after the Trigger Event, any such director or all such directors may be removed only for cause and only by the affirmative vote of the holders of at least 66 2/3% in voting power of all the then-outstanding shares of Common Stock of the Company entitled to vote thereon, with both Class A and Class B Common Stock holders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(d) Elections of directors need not be by written ballot unless the Bylaws shall so provide. </w:t>
      </w:r>
    </w:p>
    <w:p>
      <w:pPr>
        <w:pStyle w:val="TextBody"/>
        <w:bidi w:val="0"/>
        <w:spacing w:before="240" w:after="0"/>
        <w:jc w:val="left"/>
        <w:rPr>
          <w:rFonts w:ascii="Times New Roman" w:hAnsi="Times New Roman"/>
          <w:sz w:val="20"/>
        </w:rPr>
      </w:pPr>
      <w:r>
        <w:rPr>
          <w:rFonts w:ascii="Times New Roman" w:hAnsi="Times New Roman"/>
          <w:sz w:val="20"/>
        </w:rPr>
        <w:t xml:space="preserve">(e) During any period when the holders of any series of Preferred Stock, voting separately as a series or together with one or more series, as the case may be, have the right to elect additional directors, then, notwithstanding </w:t>
      </w:r>
      <w:r>
        <w:rPr>
          <w:rFonts w:ascii="Times New Roman" w:hAnsi="Times New Roman"/>
          <w:sz w:val="20"/>
          <w:u w:val="single"/>
        </w:rPr>
        <w:t>Section (a)</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upon commencement and for the duration of the period during which such right continues: (i) the then otherwise total authorized number of directors that may be elected by the Company pursuant to </w:t>
      </w:r>
      <w:r>
        <w:rPr>
          <w:rFonts w:ascii="Times New Roman" w:hAnsi="Times New Roman"/>
          <w:sz w:val="20"/>
          <w:u w:val="single"/>
        </w:rPr>
        <w:t>Section (a)</w:t>
      </w:r>
      <w:r>
        <w:rPr>
          <w:rFonts w:ascii="Times New Roman" w:hAnsi="Times New Roman"/>
          <w:sz w:val="20"/>
        </w:rPr>
        <w:t xml:space="preserve"> of this </w:t>
      </w:r>
      <w:r>
        <w:rPr>
          <w:rFonts w:ascii="Times New Roman" w:hAnsi="Times New Roman"/>
          <w:sz w:val="20"/>
          <w:u w:val="single"/>
        </w:rPr>
        <w:t>Article VI</w:t>
      </w:r>
      <w:r>
        <w:rPr>
          <w:rFonts w:ascii="Times New Roman" w:hAnsi="Times New Roman"/>
          <w:sz w:val="20"/>
        </w:rPr>
        <w:t xml:space="preserve">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The term of office, removal and other features of such directorships shall be governed by the terms of this Amended and Restated Certificate of Incorporation (including any certificate of designation relating to any series of Preferred Stock) applicable thereto. Except as otherwise provided by the Board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(in which case each such director thereupon shall cease to be qualified as, and shall cease to be, a director) and the total authorized number of directors of the Company shall be reduced accordingly.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LIMITATION OF DIRECTOR AND OFFICER LIABILITY </w:t>
      </w:r>
    </w:p>
    <w:p>
      <w:pPr>
        <w:pStyle w:val="TextBody"/>
        <w:bidi w:val="0"/>
        <w:spacing w:before="240" w:after="0"/>
        <w:jc w:val="left"/>
        <w:rPr>
          <w:rFonts w:ascii="Times New Roman" w:hAnsi="Times New Roman"/>
          <w:sz w:val="20"/>
        </w:rPr>
      </w:pPr>
      <w:r>
        <w:rPr>
          <w:rFonts w:ascii="Times New Roman" w:hAnsi="Times New Roman"/>
          <w:sz w:val="20"/>
        </w:rPr>
        <w:t xml:space="preserve">(a) To the fullest extent permitted by the DGCL as it now exists, a director or officer of the Company shall not be personally liable to the Company or its stockholders for monetary damages for breach of fiduciary duty owed to the Company or its stockholders. For the purposes of this Article VII, “officer” shall have the meaning provided in Section 102(b)(7) of the DGCL, as it presently exists. </w:t>
      </w:r>
    </w:p>
    <w:p>
      <w:pPr>
        <w:pStyle w:val="TextBody"/>
        <w:bidi w:val="0"/>
        <w:spacing w:before="240" w:after="0"/>
        <w:jc w:val="left"/>
        <w:rPr>
          <w:rFonts w:ascii="Times New Roman" w:hAnsi="Times New Roman"/>
          <w:sz w:val="20"/>
        </w:rPr>
      </w:pPr>
      <w:r>
        <w:rPr>
          <w:rFonts w:ascii="Times New Roman" w:hAnsi="Times New Roman"/>
          <w:sz w:val="20"/>
        </w:rPr>
        <w:t xml:space="preserve">(b) Neither the amendment nor repeal of this </w:t>
      </w:r>
      <w:r>
        <w:rPr>
          <w:rFonts w:ascii="Times New Roman" w:hAnsi="Times New Roman"/>
          <w:sz w:val="20"/>
          <w:u w:val="single"/>
        </w:rPr>
        <w:t>Article VII</w:t>
      </w:r>
      <w:r>
        <w:rPr>
          <w:rFonts w:ascii="Times New Roman" w:hAnsi="Times New Roman"/>
          <w:sz w:val="20"/>
        </w:rPr>
        <w:t xml:space="preserve">, nor the adoption of any provision of this Amended and Restated Certificate of Incorporation, nor, to the fullest extent permitted by the DGCL, any modification of law shall eliminate, reduce or otherwise adversely affect any right or protection of a current or former director or officer of the Company existing at the time of such amendment, repeal, adoption or modification.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applicable law, the Company shall indemnify (and provide advancement of expenses to) directors and officers of the Company from and against any and all liabilities, costs, expenses or damages that they may incur on account of, related to, or in connection with, directly or indirectly, their service to the Company. The Company may indemnify (and provide advancement of expenses to) employees and agents of the Company (and any other persons to which the DGCL permits the Company to provide indemnification).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CONSENT OF STOCKHOLDERS IN LIEU OF MEETING; ANNUAL AND SPECIAL 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(a) Prior to the Trigger Event, any action required or permitted to be taken at any annual or special meeting of stockholders of the Company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Company by delivery to its registered office in the State of Delaware, its principal place of business, or an officer or agent of the Company having custody of the books in which proceedings of meetings of stockholders are recorded. Delivery made to the Company’s registered office shall be made by hand, overnight courier or by certified or registered mail, return receipt requested. From and after the Trigger Event, any action required or permitted to be taken by the stockholders of the Company must be effected at a duly called annual or special meeting of such holders and may not be effected by any consent in writing by such holders;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any action required or permitted to be taken by the holders of Preferred Stock, voting separately as a series or together with one or more series, as the case may be, may be taken without a meeting, without prior notice and without a vote, to the extent expressly so provided by the applicable certificate of designation relating to such series of Preferred Stock. </w:t>
      </w:r>
    </w:p>
    <w:p>
      <w:pPr>
        <w:pStyle w:val="TextBody"/>
        <w:bidi w:val="0"/>
        <w:spacing w:before="240" w:after="0"/>
        <w:jc w:val="left"/>
        <w:rPr>
          <w:rFonts w:ascii="Times New Roman" w:hAnsi="Times New Roman"/>
          <w:sz w:val="20"/>
        </w:rPr>
      </w:pPr>
      <w:r>
        <w:rPr>
          <w:rFonts w:ascii="Times New Roman" w:hAnsi="Times New Roman"/>
          <w:sz w:val="20"/>
        </w:rPr>
        <w:t>(b) Prior to the Trigger Event and except as otherwise required by law and subject to the rights of the holders of any series of Preferred Stock, special meetings of the stockholders of the Company for any purpose or purposes may be called by or at the direction of the Board or the Chair of the Board, and at the request of the Investor. From and after the Trigger Event, special meetings of the stockholders of the Company for any purpose or purposes may only be called by the Board or the Chair of the Board. The Chair of the Board or the Board may postpone, reschedule or cancel any special meeting of stockholders previously called by any of them; </w:t>
      </w:r>
      <w:r>
        <w:rPr>
          <w:rFonts w:ascii="Times New Roman" w:hAnsi="Times New Roman"/>
          <w:i/>
          <w:sz w:val="20"/>
        </w:rPr>
        <w:t>provided, however</w:t>
      </w:r>
      <w:r>
        <w:rPr>
          <w:rFonts w:ascii="Times New Roman" w:hAnsi="Times New Roman"/>
          <w:sz w:val="20"/>
        </w:rPr>
        <w:t xml:space="preserve">, that with respect to any special meeting of stockholders of the Company previously scheduled at the request of the Investor, neither the Chair of the Board nor the Board shall postpone, reschedule or cancel such special meeting without the prior written consent of the Investor. </w:t>
      </w:r>
    </w:p>
    <w:p>
      <w:pPr>
        <w:pStyle w:val="TextBody"/>
        <w:bidi w:val="0"/>
        <w:spacing w:before="240" w:after="0"/>
        <w:jc w:val="left"/>
        <w:rPr>
          <w:rFonts w:ascii="Times New Roman" w:hAnsi="Times New Roman"/>
          <w:sz w:val="20"/>
        </w:rPr>
      </w:pPr>
      <w:r>
        <w:rPr>
          <w:rFonts w:ascii="Times New Roman" w:hAnsi="Times New Roman"/>
          <w:sz w:val="20"/>
        </w:rPr>
        <w:t xml:space="preserve">(c) An annual meeting of stockholders for the election of directors to succeed those whose terms expire and for the transaction of such other business as may properly come before the meeting, shall be held at such place, if any, on such date, and at such time as shall be fixed in the manner provided in the Bylaws.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COMPETITION AND CORPORATE OPPORTUNITIES </w:t>
      </w:r>
    </w:p>
    <w:p>
      <w:pPr>
        <w:pStyle w:val="TextBody"/>
        <w:bidi w:val="0"/>
        <w:spacing w:before="240" w:after="0"/>
        <w:jc w:val="left"/>
        <w:rPr>
          <w:rFonts w:ascii="Times New Roman" w:hAnsi="Times New Roman"/>
          <w:sz w:val="20"/>
        </w:rPr>
      </w:pPr>
      <w:r>
        <w:rPr>
          <w:rFonts w:ascii="Times New Roman" w:hAnsi="Times New Roman"/>
          <w:sz w:val="20"/>
        </w:rPr>
        <w:t>(a) In recognition and anticipation that (i) certain directors, principals, members, officers, associated funds, employees and/or other representatives of the Investor and its Affiliates (as defined below) may serve as directors, officers or agents of the Company, (ii) the Investor and its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and (iii) members of the Board who are not employees of the Company (“</w:t>
      </w:r>
      <w:r>
        <w:rPr>
          <w:rFonts w:ascii="Times New Roman" w:hAnsi="Times New Roman"/>
          <w:b/>
          <w:sz w:val="20"/>
        </w:rPr>
        <w:t>Non-Employee Directors</w:t>
      </w:r>
      <w:r>
        <w:rPr>
          <w:rFonts w:ascii="Times New Roman" w:hAnsi="Times New Roman"/>
          <w:sz w:val="20"/>
        </w:rPr>
        <w:t xml:space="preserve">”) and their respective Affiliates may now engage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of this </w:t>
      </w:r>
      <w:r>
        <w:rPr>
          <w:rFonts w:ascii="Times New Roman" w:hAnsi="Times New Roman"/>
          <w:sz w:val="20"/>
          <w:u w:val="single"/>
        </w:rPr>
        <w:t>Article IX</w:t>
      </w:r>
      <w:r>
        <w:rPr>
          <w:rFonts w:ascii="Times New Roman" w:hAnsi="Times New Roman"/>
          <w:sz w:val="20"/>
        </w:rPr>
        <w:t xml:space="preserve"> are set forth to regulate and define the conduct of certain affairs of the Company with respect to certain classes or categories of business opportunities as they may involve the Investor, the Non-Employee Directors or their respective Affiliates and the powers, rights, duties and liabilities of the Company and its directors, officers and stockholders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None of (i) the Investor or any of its Affiliates or (ii) any Non-Employee Director (including any Non-Employee Director who serves as an officer of the Company in both his or her director and officer capacities) or his or her Affiliates (the Persons (as defined below) identified in (i) and (ii) above being referred to, collectively, as “</w:t>
      </w:r>
      <w:r>
        <w:rPr>
          <w:rFonts w:ascii="Times New Roman" w:hAnsi="Times New Roman"/>
          <w:b/>
          <w:sz w:val="20"/>
        </w:rPr>
        <w:t>Identified Persons</w:t>
      </w:r>
      <w:r>
        <w:rPr>
          <w:rFonts w:ascii="Times New Roman" w:hAnsi="Times New Roman"/>
          <w:sz w:val="20"/>
        </w:rPr>
        <w:t>” and, individually, as an “</w:t>
      </w:r>
      <w:r>
        <w:rPr>
          <w:rFonts w:ascii="Times New Roman" w:hAnsi="Times New Roman"/>
          <w:b/>
          <w:sz w:val="20"/>
        </w:rPr>
        <w:t>Identified Person</w:t>
      </w:r>
      <w:r>
        <w:rPr>
          <w:rFonts w:ascii="Times New Roman" w:hAnsi="Times New Roman"/>
          <w:sz w:val="20"/>
        </w:rPr>
        <w:t xml:space="preserve">”) shall, to the fullest extent permitted by law, have any duty to refrain from directly or indirectly (1) engaging in the same or similar business activities or lines of business in which the Company or any of its Affiliates now engages or proposes to engage or (2) otherwise competing with the Company or any of its Affiliates, and, to the fullest extent permitted by law, no Identified Person shall be liable to the Company or its stockholders or to any Affiliate of the Company for breach of any fiduciary duty solely by reason of the fact that such Identified Person engages in any such activities. To the fullest extent permitted by law, the Company hereby renounces any interest or expectancy in, or right to be offered an opportunity to participate in, any business opportunity which may be a corporate opportunity for an Identified Person and the Company or any of its Affiliates, except as provided in </w:t>
      </w:r>
      <w:r>
        <w:rPr>
          <w:rFonts w:ascii="Times New Roman" w:hAnsi="Times New Roman"/>
          <w:sz w:val="20"/>
          <w:u w:val="single"/>
        </w:rPr>
        <w:t>Section (d)</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Subject to </w:t>
      </w:r>
      <w:r>
        <w:rPr>
          <w:rFonts w:ascii="Times New Roman" w:hAnsi="Times New Roman"/>
          <w:sz w:val="20"/>
          <w:u w:val="single"/>
        </w:rPr>
        <w:t>Section (d)</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in the event that any Identified Person acquires knowledge of a potential transaction or other matter or business opportunity which may be a corporate opportunity for itself, herself or himself and the Company or any of its Affiliates, such Identified Person shall, to the fullest extent permitted by law, have no fiduciary duty or other duty (contractual or otherwise) to communicate, present or offer such transaction or other business opportunity to the Company or any of its Affiliates and, to the fullest extent permitted by law, shall not be liable to the Company or its stockholders or to any Affiliate of the Company for breach of any fiduciary duty or other duty (contractual or otherwise) as a stockholder, director or officer of the Company solely by reason of the fact that such Identified Person pursues or acquires such corporate opportunity for itself, herself or himself, offers or directs such corporate opportunity to another Person, or does not present such corporate opportunity to the Company or any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(c) The Company and its Affiliates do not have any rights in and to the business ventures of any Identified Person, or the income or profits derived therefrom, and the Company agrees that each of the Identified Persons may do business with any potential or actual customer or supplier of the Company or may employ or otherwise engage any officer or employee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the foregoing provisions of this </w:t>
      </w:r>
      <w:r>
        <w:rPr>
          <w:rFonts w:ascii="Times New Roman" w:hAnsi="Times New Roman"/>
          <w:sz w:val="20"/>
          <w:u w:val="single"/>
        </w:rPr>
        <w:t>Article IX</w:t>
      </w:r>
      <w:r>
        <w:rPr>
          <w:rFonts w:ascii="Times New Roman" w:hAnsi="Times New Roman"/>
          <w:sz w:val="20"/>
        </w:rPr>
        <w:t xml:space="preserve">, the Company does not renounce its interest in any corporate opportunity offered to any Non-Employee Director (including any Non-Employee Director who serves as an officer of the Company) if such opportunity is expressly offered to such person in writing solely in his or her capacity as a director or officer of the Company, and the provisions of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IX</w:t>
      </w:r>
      <w:r>
        <w:rPr>
          <w:rFonts w:ascii="Times New Roman" w:hAnsi="Times New Roman"/>
          <w:sz w:val="20"/>
        </w:rPr>
        <w:t xml:space="preserve"> shall not apply to any such corporate opportunity. </w:t>
      </w:r>
    </w:p>
    <w:p>
      <w:pPr>
        <w:pStyle w:val="TextBody"/>
        <w:bidi w:val="0"/>
        <w:spacing w:before="240" w:after="0"/>
        <w:jc w:val="left"/>
        <w:rPr>
          <w:rFonts w:ascii="Times New Roman" w:hAnsi="Times New Roman"/>
          <w:sz w:val="20"/>
        </w:rPr>
      </w:pPr>
      <w:r>
        <w:rPr>
          <w:rFonts w:ascii="Times New Roman" w:hAnsi="Times New Roman"/>
          <w:sz w:val="20"/>
        </w:rPr>
        <w:t xml:space="preserve">(e) In addition to and notwithstanding the foregoing provisions of this </w:t>
      </w:r>
      <w:r>
        <w:rPr>
          <w:rFonts w:ascii="Times New Roman" w:hAnsi="Times New Roman"/>
          <w:sz w:val="20"/>
          <w:u w:val="single"/>
        </w:rPr>
        <w:t>Article IX</w:t>
      </w:r>
      <w:r>
        <w:rPr>
          <w:rFonts w:ascii="Times New Roman" w:hAnsi="Times New Roman"/>
          <w:sz w:val="20"/>
        </w:rPr>
        <w:t xml:space="preserve">, a corporate opportunity shall not be deemed to be a potential corporate opportunity for the Company if it is a business opportunity that (i) the Company is neither financially or legally able, nor contractually permitted to undertake, (ii) from its nature, is not in the line of the Company’s business or is of no practical advantage to the Company or (iii) is one in which the Company has no interest or reasonable expectancy. </w:t>
      </w:r>
    </w:p>
    <w:p>
      <w:pPr>
        <w:pStyle w:val="TextBody"/>
        <w:bidi w:val="0"/>
        <w:spacing w:before="240" w:after="0"/>
        <w:jc w:val="left"/>
        <w:rPr>
          <w:rFonts w:ascii="Times New Roman" w:hAnsi="Times New Roman"/>
          <w:sz w:val="20"/>
        </w:rPr>
      </w:pPr>
      <w:r>
        <w:rPr>
          <w:rFonts w:ascii="Times New Roman" w:hAnsi="Times New Roman"/>
          <w:sz w:val="20"/>
        </w:rPr>
        <w:t xml:space="preserve">(f) For purposes of this </w:t>
      </w:r>
      <w:r>
        <w:rPr>
          <w:rFonts w:ascii="Times New Roman" w:hAnsi="Times New Roman"/>
          <w:sz w:val="20"/>
          <w:u w:val="single"/>
        </w:rPr>
        <w:t>Article IX</w:t>
      </w:r>
      <w:r>
        <w:rPr>
          <w:rFonts w:ascii="Times New Roman" w:hAnsi="Times New Roman"/>
          <w:sz w:val="20"/>
        </w:rPr>
        <w:t>, (i) “</w:t>
      </w:r>
      <w:r>
        <w:rPr>
          <w:rFonts w:ascii="Times New Roman" w:hAnsi="Times New Roman"/>
          <w:b/>
          <w:sz w:val="20"/>
        </w:rPr>
        <w:t>Affiliate</w:t>
      </w:r>
      <w:r>
        <w:rPr>
          <w:rFonts w:ascii="Times New Roman" w:hAnsi="Times New Roman"/>
          <w:sz w:val="20"/>
        </w:rPr>
        <w:t>” shall mean (a) in respect of any Investor, any Person that, directly or indirectly, is controlled by such Investor, controls such Investor or is under common control with such Investor and shall include any principal, member, director, partner, stockholder, officer, employee or other representative of any of the foregoing (other than the Company and any entity that is controlled by the Company), (b) in respect of a Non-Employee Director, any Person that, directly or indirectly, is controlled by such Non-Employee Director (other than the Company and any entity that is controlled by the Company) and (c) in respect of the Company, any Person that, directly or indirectly, is controlled by the Company; (ii) “</w:t>
      </w:r>
      <w:r>
        <w:rPr>
          <w:rFonts w:ascii="Times New Roman" w:hAnsi="Times New Roman"/>
          <w:b/>
          <w:sz w:val="20"/>
        </w:rPr>
        <w:t>Person</w:t>
      </w:r>
      <w:r>
        <w:rPr>
          <w:rFonts w:ascii="Times New Roman" w:hAnsi="Times New Roman"/>
          <w:sz w:val="20"/>
        </w:rPr>
        <w:t>” shall mean any individual, corporation, general or limited partnership, limited liability company, joint venture, trust, association or any other entity; (iii) “</w:t>
      </w:r>
      <w:r>
        <w:rPr>
          <w:rFonts w:ascii="Times New Roman" w:hAnsi="Times New Roman"/>
          <w:b/>
          <w:sz w:val="20"/>
        </w:rPr>
        <w:t>control</w:t>
      </w:r>
      <w:r>
        <w:rPr>
          <w:rFonts w:ascii="Times New Roman" w:hAnsi="Times New Roman"/>
          <w:sz w:val="20"/>
        </w:rPr>
        <w:t>” (including the terms “</w:t>
      </w:r>
      <w:r>
        <w:rPr>
          <w:rFonts w:ascii="Times New Roman" w:hAnsi="Times New Roman"/>
          <w:b/>
          <w:sz w:val="20"/>
        </w:rPr>
        <w:t>controlling</w:t>
      </w:r>
      <w:r>
        <w:rPr>
          <w:rFonts w:ascii="Times New Roman" w:hAnsi="Times New Roman"/>
          <w:sz w:val="20"/>
        </w:rPr>
        <w:t>,” “</w:t>
      </w:r>
      <w:r>
        <w:rPr>
          <w:rFonts w:ascii="Times New Roman" w:hAnsi="Times New Roman"/>
          <w:b/>
          <w:sz w:val="20"/>
        </w:rPr>
        <w:t>controlled by</w:t>
      </w:r>
      <w:r>
        <w:rPr>
          <w:rFonts w:ascii="Times New Roman" w:hAnsi="Times New Roman"/>
          <w:sz w:val="20"/>
        </w:rPr>
        <w:t>” and “</w:t>
      </w:r>
      <w:r>
        <w:rPr>
          <w:rFonts w:ascii="Times New Roman" w:hAnsi="Times New Roman"/>
          <w:b/>
          <w:sz w:val="20"/>
        </w:rPr>
        <w:t>under common control with</w:t>
      </w:r>
      <w:r>
        <w:rPr>
          <w:rFonts w:ascii="Times New Roman" w:hAnsi="Times New Roman"/>
          <w:sz w:val="20"/>
        </w:rPr>
        <w:t>”), with respect to the relationship between or among two or more Persons, shall mean the possession, directly or indirectly, of the power to direct or cause the direction of the affairs or management of a Person, whether through the ownership of voting securities, by contract or otherwise; and (iv) “</w:t>
      </w:r>
      <w:r>
        <w:rPr>
          <w:rFonts w:ascii="Times New Roman" w:hAnsi="Times New Roman"/>
          <w:b/>
          <w:sz w:val="20"/>
        </w:rPr>
        <w:t>Investor</w:t>
      </w:r>
      <w:r>
        <w:rPr>
          <w:rFonts w:ascii="Times New Roman" w:hAnsi="Times New Roman"/>
          <w:sz w:val="20"/>
        </w:rPr>
        <w:t xml:space="preserve">” shall mean any of Oaktree Capital Management L.P. and its Affiliates (including ITG Management Holdings, LLC). </w:t>
      </w:r>
    </w:p>
    <w:p>
      <w:pPr>
        <w:pStyle w:val="TextBody"/>
        <w:bidi w:val="0"/>
        <w:spacing w:before="240" w:after="0"/>
        <w:jc w:val="left"/>
        <w:rPr>
          <w:rFonts w:ascii="Times New Roman" w:hAnsi="Times New Roman"/>
          <w:sz w:val="20"/>
        </w:rPr>
      </w:pPr>
      <w:r>
        <w:rPr>
          <w:rFonts w:ascii="Times New Roman" w:hAnsi="Times New Roman"/>
          <w:sz w:val="20"/>
        </w:rPr>
        <w:t xml:space="preserve">(g) To the fullest extent permitted by law, any Person purchasing or otherwise acquiring any interest in any shares of capital stock of the Company shall be deemed to have notice of and to have consented to the provisions of this </w:t>
      </w:r>
      <w:r>
        <w:rPr>
          <w:rFonts w:ascii="Times New Roman" w:hAnsi="Times New Roman"/>
          <w:sz w:val="20"/>
          <w:u w:val="single"/>
        </w:rPr>
        <w:t>Article IX</w:t>
      </w:r>
      <w:r>
        <w:rPr>
          <w:rFonts w:ascii="Times New Roman" w:hAnsi="Times New Roman"/>
          <w:sz w:val="20"/>
        </w:rPr>
        <w:t xml:space="preserve">. Neither the alteration, amendment, addition to or repeal of this </w:t>
      </w:r>
      <w:r>
        <w:rPr>
          <w:rFonts w:ascii="Times New Roman" w:hAnsi="Times New Roman"/>
          <w:sz w:val="20"/>
          <w:u w:val="single"/>
        </w:rPr>
        <w:t>Article IX</w:t>
      </w:r>
      <w:r>
        <w:rPr>
          <w:rFonts w:ascii="Times New Roman" w:hAnsi="Times New Roman"/>
          <w:sz w:val="20"/>
        </w:rPr>
        <w:t xml:space="preserve">, nor the adoption of any provision of this Amended and Restated Certificate of Incorporation (including any certificate of designation relating to any series of Preferred Stock) inconsistent with this </w:t>
      </w:r>
      <w:r>
        <w:rPr>
          <w:rFonts w:ascii="Times New Roman" w:hAnsi="Times New Roman"/>
          <w:sz w:val="20"/>
          <w:u w:val="single"/>
        </w:rPr>
        <w:t>Article IX</w:t>
      </w:r>
      <w:r>
        <w:rPr>
          <w:rFonts w:ascii="Times New Roman" w:hAnsi="Times New Roman"/>
          <w:sz w:val="20"/>
        </w:rPr>
        <w:t xml:space="preserve">, shall eliminate or reduce the effect of this </w:t>
      </w:r>
      <w:r>
        <w:rPr>
          <w:rFonts w:ascii="Times New Roman" w:hAnsi="Times New Roman"/>
          <w:sz w:val="20"/>
          <w:u w:val="single"/>
        </w:rPr>
        <w:t>Article IX</w:t>
      </w:r>
      <w:r>
        <w:rPr>
          <w:rFonts w:ascii="Times New Roman" w:hAnsi="Times New Roman"/>
          <w:sz w:val="20"/>
        </w:rPr>
        <w:t xml:space="preserve"> in respect of any business opportunity first identified or any other matter occurring, or any cause of action, suit or claim that, but for this </w:t>
      </w:r>
      <w:r>
        <w:rPr>
          <w:rFonts w:ascii="Times New Roman" w:hAnsi="Times New Roman"/>
          <w:sz w:val="20"/>
          <w:u w:val="single"/>
        </w:rPr>
        <w:t>Article IX</w:t>
      </w:r>
      <w:r>
        <w:rPr>
          <w:rFonts w:ascii="Times New Roman" w:hAnsi="Times New Roman"/>
          <w:sz w:val="20"/>
        </w:rPr>
        <w:t xml:space="preserve">, would accrue or arise, prior to such alteration, amendment, addition, repeal or adoption.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DGCL SECTION 203 AND BUSINESS COMBINATIONS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hereby expressly elects not to be governed by Section 203 of the DGCL.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Company shall not engage in any business combination (as defined below), at any point in time at which the Company’s Common Stock is registered under Section 12(b) or 12(g) of the Exchange Act, with any interested stockholder (as defined below) for a period of three years following the time that such stockholder became an interested stockholder, unless: </w:t>
      </w:r>
    </w:p>
    <w:p>
      <w:pPr>
        <w:pStyle w:val="TextBody"/>
        <w:bidi w:val="0"/>
        <w:spacing w:before="120" w:after="0"/>
        <w:jc w:val="left"/>
        <w:rPr>
          <w:rFonts w:ascii="Times New Roman" w:hAnsi="Times New Roman"/>
          <w:sz w:val="20"/>
        </w:rPr>
      </w:pPr>
      <w:r>
        <w:rPr>
          <w:rFonts w:ascii="Times New Roman" w:hAnsi="Times New Roman"/>
          <w:sz w:val="20"/>
        </w:rPr>
        <w:t xml:space="preserve">(i) prior to such time, the Board approved either the business combination or the transaction which resulted in the stockholder becoming an interested stockholder, or </w:t>
      </w:r>
    </w:p>
    <w:p>
      <w:pPr>
        <w:pStyle w:val="TextBody"/>
        <w:bidi w:val="0"/>
        <w:spacing w:before="120" w:after="0"/>
        <w:jc w:val="left"/>
        <w:rPr>
          <w:rFonts w:ascii="Times New Roman" w:hAnsi="Times New Roman"/>
          <w:sz w:val="20"/>
        </w:rPr>
      </w:pPr>
      <w:r>
        <w:rPr>
          <w:rFonts w:ascii="Times New Roman" w:hAnsi="Times New Roman"/>
          <w:sz w:val="20"/>
        </w:rPr>
        <w:t xml:space="preserve">(ii) upon consummation of the transaction which resulted in the stockholder becoming an interested stockholder, the interested stockholder owned at least 85% of the voting stock (as defined below) of the Company outstanding at the time the transaction commenced, excluding for purposes of determining the voting stock outstanding (but not the outstanding voting stock owned by the interested stockholder) those shares owned by (A) persons who are directors and also officers and (B) employee stock plans in which employee participants do not have the right to determine confidentially whether shares held subject to the plan will be tendered in a tender or exchange offer, or </w:t>
      </w:r>
    </w:p>
    <w:p>
      <w:pPr>
        <w:pStyle w:val="TextBody"/>
        <w:bidi w:val="0"/>
        <w:spacing w:before="120" w:after="0"/>
        <w:jc w:val="left"/>
        <w:rPr>
          <w:rFonts w:ascii="Times New Roman" w:hAnsi="Times New Roman"/>
          <w:sz w:val="20"/>
        </w:rPr>
      </w:pPr>
      <w:r>
        <w:rPr>
          <w:rFonts w:ascii="Times New Roman" w:hAnsi="Times New Roman"/>
          <w:sz w:val="20"/>
        </w:rPr>
        <w:t xml:space="preserve">(iii) at or subsequent to such time, the business combination is approved by the Board and authorized at an annual or special meeting of stockholders, and not by written consent, by the affirmative vote of at least 66 2/3% of the outstanding voting stock of the Company entitled to vote thereon, with both Class A and Class B Common Stock holders voting together as a single class, which is not owned by the interested stockholder. </w:t>
      </w:r>
    </w:p>
    <w:p>
      <w:pPr>
        <w:pStyle w:val="TextBody"/>
        <w:bidi w:val="0"/>
        <w:spacing w:before="240" w:after="0"/>
        <w:jc w:val="left"/>
        <w:rPr>
          <w:rFonts w:ascii="Times New Roman" w:hAnsi="Times New Roman"/>
          <w:sz w:val="20"/>
        </w:rPr>
      </w:pPr>
      <w:r>
        <w:rPr>
          <w:rFonts w:ascii="Times New Roman" w:hAnsi="Times New Roman"/>
          <w:sz w:val="20"/>
        </w:rPr>
        <w:t xml:space="preserve">(c) The restrictions contained in the foregoing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X</w:t>
      </w:r>
      <w:r>
        <w:rPr>
          <w:rFonts w:ascii="Times New Roman" w:hAnsi="Times New Roman"/>
          <w:sz w:val="20"/>
        </w:rPr>
        <w:t xml:space="preserve"> shall not apply if: </w:t>
      </w:r>
    </w:p>
    <w:p>
      <w:pPr>
        <w:pStyle w:val="TextBody"/>
        <w:bidi w:val="0"/>
        <w:spacing w:before="120" w:after="0"/>
        <w:jc w:val="left"/>
        <w:rPr>
          <w:rFonts w:ascii="Times New Roman" w:hAnsi="Times New Roman"/>
          <w:sz w:val="20"/>
        </w:rPr>
      </w:pPr>
      <w:r>
        <w:rPr>
          <w:rFonts w:ascii="Times New Roman" w:hAnsi="Times New Roman"/>
          <w:sz w:val="20"/>
        </w:rPr>
        <w:t xml:space="preserve">(i) a stockholder becomes an interested stockholder inadvertently and (x) as soon as practicable divests itself of ownership of sufficient shares so that the stockholder ceases to be an interested stockholder and (y) would not, at any time, within the three-year period immediately prior to the business combination between the Company and such stockholder, have been an interested stockholder but for the inadvertent acquisition of ownership; or </w:t>
      </w:r>
    </w:p>
    <w:p>
      <w:pPr>
        <w:pStyle w:val="TextBody"/>
        <w:bidi w:val="0"/>
        <w:spacing w:before="120" w:after="0"/>
        <w:jc w:val="left"/>
        <w:rPr>
          <w:rFonts w:ascii="Times New Roman" w:hAnsi="Times New Roman"/>
          <w:sz w:val="20"/>
        </w:rPr>
      </w:pPr>
      <w:r>
        <w:rPr>
          <w:rFonts w:ascii="Times New Roman" w:hAnsi="Times New Roman"/>
          <w:sz w:val="20"/>
        </w:rPr>
        <w:t xml:space="preserve">(ii) the business combination is proposed prior to the consummation or abandonment of and subsequent to the earlier of the public announcement or the notice required hereunder of a proposed transaction which (A) constitutes one of the transactions described in the second sentence of this </w:t>
      </w:r>
      <w:r>
        <w:rPr>
          <w:rFonts w:ascii="Times New Roman" w:hAnsi="Times New Roman"/>
          <w:sz w:val="20"/>
          <w:u w:val="single"/>
        </w:rPr>
        <w:t>Article X(c)(ii)</w:t>
      </w:r>
      <w:r>
        <w:rPr>
          <w:rFonts w:ascii="Times New Roman" w:hAnsi="Times New Roman"/>
          <w:sz w:val="20"/>
        </w:rPr>
        <w:t xml:space="preserve">, (B) is with or by a person who either was not an interested stockholder during the previous three years or who became an interested stockholder with the approval of the Board and (C) is approved or not opposed by a majority of the directors then in office (but not less than one) who were directors prior to any person becoming an interested stockholder during the previous three years or were recommended for election or elected to succeed such directors by a majority of such directors. The proposed transactions referred to in the preceding sentence are limited to (x) a merger or consolidation of the Company (except for a merger in respect of which, pursuant to Section 251(f) of the DGCL, no vote of the stockholders of the Company is required), (y) a sale, lease, exchange, mortgage, whether as part of a dissolution or otherwise, of assets of the Company or of any direct or indirect majority-owned subsidiary of the Company (other than to any direct or indirect wholly owned subsidiary or to the Company) having an aggregate market value equal to 50% or more of either the aggregate market value of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assets of the Company determined on a consolidated basis or the aggregate market value of all the outstanding stock of the Company or (z) a proposed tender or exchange offer for 50% or more of the outstanding voting stock of the Company. The Company shall give not less than 20 days’ notice to all interested stockholders prior to the consummation of any of the transactions described in clause (x) or (y) of the second sentence of this </w:t>
      </w:r>
      <w:r>
        <w:rPr>
          <w:rFonts w:ascii="Times New Roman" w:hAnsi="Times New Roman"/>
          <w:sz w:val="20"/>
          <w:u w:val="single"/>
        </w:rPr>
        <w:t>Article X(c)(ii)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For purposes of this </w:t>
      </w:r>
      <w:r>
        <w:rPr>
          <w:rFonts w:ascii="Times New Roman" w:hAnsi="Times New Roman"/>
          <w:sz w:val="20"/>
          <w:u w:val="single"/>
        </w:rPr>
        <w:t>Article X</w:t>
      </w:r>
      <w:r>
        <w:rPr>
          <w:rFonts w:ascii="Times New Roman" w:hAnsi="Times New Roman"/>
          <w:sz w:val="20"/>
        </w:rPr>
        <w:t xml:space="preserve">, references to: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Affiliate</w:t>
      </w:r>
      <w:r>
        <w:rPr>
          <w:rFonts w:ascii="Times New Roman" w:hAnsi="Times New Roman"/>
          <w:sz w:val="20"/>
        </w:rPr>
        <w:t xml:space="preserve">” means a person that directly, or indirectly through one or more intermediaries, controls, or is controlled by, or is under common control with, another person.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associate</w:t>
      </w:r>
      <w:r>
        <w:rPr>
          <w:rFonts w:ascii="Times New Roman" w:hAnsi="Times New Roman"/>
          <w:sz w:val="20"/>
        </w:rPr>
        <w:t xml:space="preserv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business combination</w:t>
      </w:r>
      <w:r>
        <w:rPr>
          <w:rFonts w:ascii="Times New Roman" w:hAnsi="Times New Roman"/>
          <w:sz w:val="20"/>
        </w:rPr>
        <w:t xml:space="preserve">,” when used in reference to the Company and any interested stockholder of the Company, means: </w:t>
      </w:r>
    </w:p>
    <w:p>
      <w:pPr>
        <w:pStyle w:val="TextBody"/>
        <w:bidi w:val="0"/>
        <w:spacing w:before="120" w:after="0"/>
        <w:jc w:val="left"/>
        <w:rPr>
          <w:rFonts w:ascii="Times New Roman" w:hAnsi="Times New Roman"/>
          <w:sz w:val="20"/>
        </w:rPr>
      </w:pPr>
      <w:r>
        <w:rPr>
          <w:rFonts w:ascii="Times New Roman" w:hAnsi="Times New Roman"/>
          <w:sz w:val="20"/>
        </w:rPr>
        <w:t xml:space="preserve">(A) any merger or consolidation of the Company (other than a merger effected pursuant to Sections 253 and 267 of the DGCL) or any direct or indirect majority-owned subsidiary of the Company (i) with the interested stockholder, or (ii) with any other corporation, partnership, unincorporated association or other entity if the merger or consolidation is caused by the interested stockholder and as a result of such merger or consolidation, </w:t>
      </w:r>
      <w:r>
        <w:rPr>
          <w:rFonts w:ascii="Times New Roman" w:hAnsi="Times New Roman"/>
          <w:sz w:val="20"/>
          <w:u w:val="single"/>
        </w:rPr>
        <w:t>Section (b)</w:t>
      </w:r>
      <w:r>
        <w:rPr>
          <w:rFonts w:ascii="Times New Roman" w:hAnsi="Times New Roman"/>
          <w:sz w:val="20"/>
        </w:rPr>
        <w:t xml:space="preserve"> of this </w:t>
      </w:r>
      <w:r>
        <w:rPr>
          <w:rFonts w:ascii="Times New Roman" w:hAnsi="Times New Roman"/>
          <w:sz w:val="20"/>
          <w:u w:val="single"/>
        </w:rPr>
        <w:t>Article X</w:t>
      </w:r>
      <w:r>
        <w:rPr>
          <w:rFonts w:ascii="Times New Roman" w:hAnsi="Times New Roman"/>
          <w:sz w:val="20"/>
        </w:rPr>
        <w:t xml:space="preserve"> is not applicable to the surviving entity; </w:t>
      </w:r>
    </w:p>
    <w:p>
      <w:pPr>
        <w:pStyle w:val="TextBody"/>
        <w:bidi w:val="0"/>
        <w:spacing w:before="120" w:after="0"/>
        <w:jc w:val="left"/>
        <w:rPr>
          <w:rFonts w:ascii="Times New Roman" w:hAnsi="Times New Roman"/>
          <w:sz w:val="20"/>
        </w:rPr>
      </w:pPr>
      <w:r>
        <w:rPr>
          <w:rFonts w:ascii="Times New Roman" w:hAnsi="Times New Roman"/>
          <w:sz w:val="20"/>
        </w:rPr>
        <w:t xml:space="preserve">(B) any sale, lease, exchange, mortgage, pledge, transfer or other disposition (in one transaction or a series of transactions), except proportionately as a stockholder of the Company, to or with the interested stockholder, whether as part of a dissolution or otherwise, of assets of the Company or of any direct or indirect majority-owned subsidiary of the Company which assets have an aggregate market value equal to 10% or more of either the aggregate market value of all the assets of the Company determined on a consolidated basis or the aggregate market value of all the outstanding stock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any transaction which results in the issuance or transfer by the Company or by any direct or indirect majority-owned subsidiary of the Company of any stock of the Company or of such subsidiary to the interested stockholder, except: (i) pursuant to the exercise, exchange or conversion of securities exercisable for, exchangeable for or convertible into stock of the Company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Company or any such subsidiary which security is distributed, pro rata to all holders of a class or series of stock of the Company subsequent to the time the interested stockholder became such; (iv) pursuant to an exchange offer by the Company to purchase stock made on the same terms to all holders of said stock; or (v) any issuance or transfer of stock by the Company; provided, however, that in no case under items (iii) through (v) of this </w:t>
      </w:r>
      <w:r>
        <w:rPr>
          <w:rFonts w:ascii="Times New Roman" w:hAnsi="Times New Roman"/>
          <w:sz w:val="20"/>
          <w:u w:val="single"/>
        </w:rPr>
        <w:t>subsection (C)</w:t>
      </w:r>
      <w:r>
        <w:rPr>
          <w:rFonts w:ascii="Times New Roman" w:hAnsi="Times New Roman"/>
          <w:sz w:val="20"/>
        </w:rPr>
        <w:t xml:space="preserve"> shall there be an increase in the interested stockholder’s proportionate share of the stock of any class or series of the Company or of the voting stock of the Company (except as a result of immaterial changes due to fractional share adjustments);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any transaction involving the Company or any direct or indirect majority-owned subsidiary of the Company which has the effect, directly or indirectly, of increasing the proportionate share of the stock of any class or series, or securities convertible into the stock of any class or series, of the Company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 </w:t>
      </w:r>
    </w:p>
    <w:p>
      <w:pPr>
        <w:pStyle w:val="TextBody"/>
        <w:bidi w:val="0"/>
        <w:spacing w:before="120" w:after="0"/>
        <w:jc w:val="left"/>
        <w:rPr>
          <w:rFonts w:ascii="Times New Roman" w:hAnsi="Times New Roman"/>
          <w:sz w:val="20"/>
        </w:rPr>
      </w:pPr>
      <w:r>
        <w:rPr>
          <w:rFonts w:ascii="Times New Roman" w:hAnsi="Times New Roman"/>
          <w:sz w:val="20"/>
        </w:rPr>
        <w:t xml:space="preserve">(E) any receipt by the interested stockholder of the benefit, directly or indirectly (except proportionately as a stockholder of the Company), of any loans, advances, guarantees, pledges, or other financial benefits (other than those expressly permitted in </w:t>
      </w:r>
      <w:r>
        <w:rPr>
          <w:rFonts w:ascii="Times New Roman" w:hAnsi="Times New Roman"/>
          <w:sz w:val="20"/>
          <w:u w:val="single"/>
        </w:rPr>
        <w:t>subsections (i)</w:t>
      </w:r>
      <w:r>
        <w:rPr>
          <w:rFonts w:ascii="Times New Roman" w:hAnsi="Times New Roman"/>
          <w:sz w:val="20"/>
        </w:rPr>
        <w:t xml:space="preserve"> through </w:t>
      </w:r>
      <w:r>
        <w:rPr>
          <w:rFonts w:ascii="Times New Roman" w:hAnsi="Times New Roman"/>
          <w:sz w:val="20"/>
          <w:u w:val="single"/>
        </w:rPr>
        <w:t>(iv)</w:t>
      </w:r>
      <w:r>
        <w:rPr>
          <w:rFonts w:ascii="Times New Roman" w:hAnsi="Times New Roman"/>
          <w:sz w:val="20"/>
        </w:rPr>
        <w:t xml:space="preserve"> above) provided by or through the Company or any direct or indirect majority-owned subsidiary.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control</w:t>
      </w:r>
      <w:r>
        <w:rPr>
          <w:rFonts w:ascii="Times New Roman" w:hAnsi="Times New Roman"/>
          <w:sz w:val="20"/>
        </w:rPr>
        <w:t>,” including the terms “</w:t>
      </w:r>
      <w:r>
        <w:rPr>
          <w:rFonts w:ascii="Times New Roman" w:hAnsi="Times New Roman"/>
          <w:sz w:val="20"/>
          <w:u w:val="single"/>
        </w:rPr>
        <w:t>controlling</w:t>
      </w:r>
      <w:r>
        <w:rPr>
          <w:rFonts w:ascii="Times New Roman" w:hAnsi="Times New Roman"/>
          <w:sz w:val="20"/>
        </w:rPr>
        <w:t>,”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shall mean the possession, directly or indirectly, of the power to direct or cause the direction of the management and policies of a Person, whether through the ownership of voting securities, by contract or otherwise. A person who is the owner of 20% or more of the outstanding voting stock of any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w:t>
      </w:r>
      <w:r>
        <w:rPr>
          <w:rFonts w:ascii="Times New Roman" w:hAnsi="Times New Roman"/>
          <w:sz w:val="20"/>
          <w:u w:val="single"/>
        </w:rPr>
        <w:t>Article X</w:t>
      </w:r>
      <w:r>
        <w:rPr>
          <w:rFonts w:ascii="Times New Roman" w:hAnsi="Times New Roman"/>
          <w:sz w:val="20"/>
        </w:rPr>
        <w:t>, as an agent, bank, broker, nominee, custodian or trustee for 1 or more owners who do not individually or as a group (as such term is used in Rule 13d-5 under the Exchange Act (“</w:t>
      </w:r>
      <w:r>
        <w:rPr>
          <w:rFonts w:ascii="Times New Roman" w:hAnsi="Times New Roman"/>
          <w:b/>
          <w:sz w:val="20"/>
        </w:rPr>
        <w:t>Rule</w:t>
      </w:r>
      <w:r>
        <w:rPr>
          <w:rFonts w:ascii="Times New Roman" w:hAnsi="Times New Roman"/>
          <w:sz w:val="20"/>
        </w:rPr>
        <w:t> </w:t>
      </w:r>
      <w:r>
        <w:rPr>
          <w:rFonts w:ascii="Times New Roman" w:hAnsi="Times New Roman"/>
          <w:b/>
          <w:sz w:val="20"/>
        </w:rPr>
        <w:t>13d-5</w:t>
      </w:r>
      <w:r>
        <w:rPr>
          <w:rFonts w:ascii="Times New Roman" w:hAnsi="Times New Roman"/>
          <w:sz w:val="20"/>
        </w:rPr>
        <w:t xml:space="preserve">”), as such Rule 13d-5 is in effect as of the date of this Certificate) have control of such entity.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interested stockholder</w:t>
      </w:r>
      <w:r>
        <w:rPr>
          <w:rFonts w:ascii="Times New Roman" w:hAnsi="Times New Roman"/>
          <w:sz w:val="20"/>
        </w:rPr>
        <w:t xml:space="preserve">” means any person (other than the Company and any direct or indirect majority-owned subsidiary of the Company) that (A) is the owner of 15% or more of the outstanding voting stock of the Company, or (B) is an Affiliate or associate of the Company and was the owner of 15% or more of the outstanding voting stock of the Company at any time within the three year period immediately prior to the date on which it is sought to be determined whether such person is an interested stockholder; and the Affiliates and associates of such person;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term “</w:t>
      </w:r>
      <w:r>
        <w:rPr>
          <w:rFonts w:ascii="Times New Roman" w:hAnsi="Times New Roman"/>
          <w:sz w:val="20"/>
          <w:u w:val="single"/>
        </w:rPr>
        <w:t>interested stockholder</w:t>
      </w:r>
      <w:r>
        <w:rPr>
          <w:rFonts w:ascii="Times New Roman" w:hAnsi="Times New Roman"/>
          <w:sz w:val="20"/>
        </w:rPr>
        <w:t>” shall not include (i) any Investor, any Investor Direct Transferee, any Investor Indirect Transferee or any of their respective Affiliates or successors or any “</w:t>
      </w:r>
      <w:r>
        <w:rPr>
          <w:rFonts w:ascii="Times New Roman" w:hAnsi="Times New Roman"/>
          <w:sz w:val="20"/>
          <w:u w:val="single"/>
        </w:rPr>
        <w:t>group</w:t>
      </w:r>
      <w:r>
        <w:rPr>
          <w:rFonts w:ascii="Times New Roman" w:hAnsi="Times New Roman"/>
          <w:sz w:val="20"/>
        </w:rPr>
        <w:t xml:space="preserve">,” or any member of any such group, to which such persons are a party under Rule 13d-5 of the Exchange Act, or (ii) any person whose ownership of shares in excess of the 15% limitation set forth herein is the result of any action taken solely by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that in the case of clause (ii) such person shall be an interested stockholder if thereafter such person acquires additional shares of voting stock of the Company, except as a result of further corporate action not caused, directly or indirectly, by such person. For the purpose of determining whether a person is an interested stockholder, the voting stock of the Company deemed to be outstanding shall include stock deemed to be owned by the person through application of the definition of “</w:t>
      </w:r>
      <w:r>
        <w:rPr>
          <w:rFonts w:ascii="Times New Roman" w:hAnsi="Times New Roman"/>
          <w:sz w:val="20"/>
          <w:u w:val="single"/>
        </w:rPr>
        <w:t>owner</w:t>
      </w:r>
      <w:r>
        <w:rPr>
          <w:rFonts w:ascii="Times New Roman" w:hAnsi="Times New Roman"/>
          <w:sz w:val="20"/>
        </w:rPr>
        <w:t xml:space="preserve">” below but shall not include any other unissued stock of the Company which may be issuable pursuant to any agreement, arrangement or understanding, or upon exercise of conversion rights, warrants or options, or otherwise.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Investor</w:t>
      </w:r>
      <w:r>
        <w:rPr>
          <w:rFonts w:ascii="Times New Roman" w:hAnsi="Times New Roman"/>
          <w:sz w:val="20"/>
        </w:rPr>
        <w:t xml:space="preserve">” means Oaktree Capital Management L.P. and its Affiliates (including ITG Management Holdings, LLC). </w:t>
      </w:r>
    </w:p>
    <w:p>
      <w:pPr>
        <w:pStyle w:val="TextBody"/>
        <w:bidi w:val="0"/>
        <w:spacing w:before="120" w:after="0"/>
        <w:jc w:val="left"/>
        <w:rPr>
          <w:rFonts w:ascii="Times New Roman" w:hAnsi="Times New Roman"/>
          <w:sz w:val="20"/>
        </w:rPr>
      </w:pPr>
      <w:r>
        <w:rPr>
          <w:rFonts w:ascii="Times New Roman" w:hAnsi="Times New Roman"/>
          <w:sz w:val="20"/>
        </w:rPr>
        <w:t>(vii) “</w:t>
      </w:r>
      <w:r>
        <w:rPr>
          <w:rFonts w:ascii="Times New Roman" w:hAnsi="Times New Roman"/>
          <w:sz w:val="20"/>
          <w:u w:val="single"/>
        </w:rPr>
        <w:t>Investor Direct Transferee</w:t>
      </w:r>
      <w:r>
        <w:rPr>
          <w:rFonts w:ascii="Times New Roman" w:hAnsi="Times New Roman"/>
          <w:sz w:val="20"/>
        </w:rPr>
        <w:t>” means any person that acquires (other than in a registered public offering) directly from any Investor or any of its successors or any “</w:t>
      </w:r>
      <w:r>
        <w:rPr>
          <w:rFonts w:ascii="Times New Roman" w:hAnsi="Times New Roman"/>
          <w:sz w:val="20"/>
          <w:u w:val="single"/>
        </w:rPr>
        <w:t>group</w:t>
      </w:r>
      <w:r>
        <w:rPr>
          <w:rFonts w:ascii="Times New Roman" w:hAnsi="Times New Roman"/>
          <w:sz w:val="20"/>
        </w:rPr>
        <w:t xml:space="preserve">,” or any member of any such group, of which such persons are a party under Rule 13d-5 of the Exchange Act beneficial ownership of 15% or more of the then outstanding voting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(viii) “</w:t>
      </w:r>
      <w:r>
        <w:rPr>
          <w:rFonts w:ascii="Times New Roman" w:hAnsi="Times New Roman"/>
          <w:sz w:val="20"/>
          <w:u w:val="single"/>
        </w:rPr>
        <w:t>Investor Indirect Transferee</w:t>
      </w:r>
      <w:r>
        <w:rPr>
          <w:rFonts w:ascii="Times New Roman" w:hAnsi="Times New Roman"/>
          <w:sz w:val="20"/>
        </w:rPr>
        <w:t xml:space="preserve">” means any person that acquires (other than in a registered public offering) directly from any Investor Direct Transferee or any other Investor Indirect Transferee beneficial ownership of 15% or more of the then outstanding voting stock of the Company. </w:t>
      </w:r>
    </w:p>
    <w:p>
      <w:pPr>
        <w:pStyle w:val="TextBody"/>
        <w:bidi w:val="0"/>
        <w:spacing w:before="120" w:after="0"/>
        <w:jc w:val="left"/>
        <w:rPr>
          <w:rFonts w:ascii="Times New Roman" w:hAnsi="Times New Roman"/>
          <w:sz w:val="20"/>
        </w:rPr>
      </w:pPr>
      <w:r>
        <w:rPr>
          <w:rFonts w:ascii="Times New Roman" w:hAnsi="Times New Roman"/>
          <w:sz w:val="20"/>
        </w:rPr>
        <w:t>(ix) “</w:t>
      </w:r>
      <w:r>
        <w:rPr>
          <w:rFonts w:ascii="Times New Roman" w:hAnsi="Times New Roman"/>
          <w:sz w:val="20"/>
          <w:u w:val="single"/>
        </w:rPr>
        <w:t>owner</w:t>
      </w:r>
      <w:r>
        <w:rPr>
          <w:rFonts w:ascii="Times New Roman" w:hAnsi="Times New Roman"/>
          <w:sz w:val="20"/>
        </w:rPr>
        <w:t>,” including the terms “</w:t>
      </w:r>
      <w:r>
        <w:rPr>
          <w:rFonts w:ascii="Times New Roman" w:hAnsi="Times New Roman"/>
          <w:sz w:val="20"/>
          <w:u w:val="single"/>
        </w:rPr>
        <w:t>own</w:t>
      </w:r>
      <w:r>
        <w:rPr>
          <w:rFonts w:ascii="Times New Roman" w:hAnsi="Times New Roman"/>
          <w:sz w:val="20"/>
        </w:rPr>
        <w:t>” and “</w:t>
      </w:r>
      <w:r>
        <w:rPr>
          <w:rFonts w:ascii="Times New Roman" w:hAnsi="Times New Roman"/>
          <w:sz w:val="20"/>
          <w:u w:val="single"/>
        </w:rPr>
        <w:t>owned</w:t>
      </w:r>
      <w:r>
        <w:rPr>
          <w:rFonts w:ascii="Times New Roman" w:hAnsi="Times New Roman"/>
          <w:sz w:val="20"/>
        </w:rPr>
        <w:t xml:space="preserve">,” when used with respect to any stock, means a person that individually or with or through any of its Affiliates or associates: </w:t>
      </w:r>
    </w:p>
    <w:p>
      <w:pPr>
        <w:pStyle w:val="TextBody"/>
        <w:bidi w:val="0"/>
        <w:spacing w:before="120" w:after="0"/>
        <w:jc w:val="left"/>
        <w:rPr>
          <w:rFonts w:ascii="Times New Roman" w:hAnsi="Times New Roman"/>
          <w:sz w:val="20"/>
        </w:rPr>
      </w:pPr>
      <w:r>
        <w:rPr>
          <w:rFonts w:ascii="Times New Roman" w:hAnsi="Times New Roman"/>
          <w:sz w:val="20"/>
        </w:rPr>
        <w:t xml:space="preserve">(A) beneficially owns such stock, directly or indirectly; or </w:t>
      </w:r>
    </w:p>
    <w:p>
      <w:pPr>
        <w:pStyle w:val="TextBody"/>
        <w:bidi w:val="0"/>
        <w:spacing w:before="120" w:after="0"/>
        <w:jc w:val="left"/>
        <w:rPr>
          <w:rFonts w:ascii="Times New Roman" w:hAnsi="Times New Roman"/>
          <w:sz w:val="20"/>
        </w:rPr>
      </w:pPr>
      <w:r>
        <w:rPr>
          <w:rFonts w:ascii="Times New Roman" w:hAnsi="Times New Roman"/>
          <w:sz w:val="20"/>
        </w:rPr>
        <w:t xml:space="preserve">(B) 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 </w:t>
      </w:r>
    </w:p>
    <w:p>
      <w:pPr>
        <w:pStyle w:val="TextBody"/>
        <w:bidi w:val="0"/>
        <w:spacing w:before="120" w:after="0"/>
        <w:jc w:val="left"/>
        <w:rPr>
          <w:rFonts w:ascii="Times New Roman" w:hAnsi="Times New Roman"/>
          <w:sz w:val="20"/>
        </w:rPr>
      </w:pPr>
      <w:r>
        <w:rPr>
          <w:rFonts w:ascii="Times New Roman" w:hAnsi="Times New Roman"/>
          <w:sz w:val="20"/>
        </w:rPr>
        <w:t xml:space="preserve">(C) has any agreement, arrangement or understanding for the purpose of acquiring, holding, voting (except voting pursuant to a revocable proxy or consent as described in item (ii) of </w:t>
      </w:r>
      <w:r>
        <w:rPr>
          <w:rFonts w:ascii="Times New Roman" w:hAnsi="Times New Roman"/>
          <w:sz w:val="20"/>
          <w:u w:val="single"/>
        </w:rPr>
        <w:t>subsection (b)</w:t>
      </w:r>
      <w:r>
        <w:rPr>
          <w:rFonts w:ascii="Times New Roman" w:hAnsi="Times New Roman"/>
          <w:sz w:val="20"/>
        </w:rPr>
        <w:t xml:space="preserve"> above), or disposing of such stock with any other person that beneficially owns, or whose Affiliates or associates beneficially own, directly or indirectly, such stock.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sz w:val="20"/>
          <w:u w:val="single"/>
        </w:rPr>
        <w:t>person</w:t>
      </w:r>
      <w:r>
        <w:rPr>
          <w:rFonts w:ascii="Times New Roman" w:hAnsi="Times New Roman"/>
          <w:sz w:val="20"/>
        </w:rPr>
        <w:t xml:space="preserve">” means any individual, corporation, partnership, unincorporated association or other entity. </w:t>
      </w:r>
    </w:p>
    <w:p>
      <w:pPr>
        <w:pStyle w:val="TextBody"/>
        <w:bidi w:val="0"/>
        <w:spacing w:before="120" w:after="0"/>
        <w:jc w:val="left"/>
        <w:rPr>
          <w:rFonts w:ascii="Times New Roman" w:hAnsi="Times New Roman"/>
          <w:sz w:val="20"/>
        </w:rPr>
      </w:pPr>
      <w:r>
        <w:rPr>
          <w:rFonts w:ascii="Times New Roman" w:hAnsi="Times New Roman"/>
          <w:sz w:val="20"/>
        </w:rPr>
        <w:t>(xi) “</w:t>
      </w:r>
      <w:r>
        <w:rPr>
          <w:rFonts w:ascii="Times New Roman" w:hAnsi="Times New Roman"/>
          <w:sz w:val="20"/>
          <w:u w:val="single"/>
        </w:rPr>
        <w:t>stock</w:t>
      </w:r>
      <w:r>
        <w:rPr>
          <w:rFonts w:ascii="Times New Roman" w:hAnsi="Times New Roman"/>
          <w:sz w:val="20"/>
        </w:rPr>
        <w:t xml:space="preserve">” means, with respect to any corporation, capital stock and, with respect to any other entity, any equity interest. </w:t>
      </w:r>
    </w:p>
    <w:p>
      <w:pPr>
        <w:pStyle w:val="TextBody"/>
        <w:bidi w:val="0"/>
        <w:spacing w:before="120" w:after="0"/>
        <w:jc w:val="left"/>
        <w:rPr>
          <w:rFonts w:ascii="Times New Roman" w:hAnsi="Times New Roman"/>
          <w:sz w:val="20"/>
        </w:rPr>
      </w:pPr>
      <w:r>
        <w:rPr>
          <w:rFonts w:ascii="Times New Roman" w:hAnsi="Times New Roman"/>
          <w:sz w:val="20"/>
        </w:rPr>
        <w:t>(xii) “</w:t>
      </w:r>
      <w:r>
        <w:rPr>
          <w:rFonts w:ascii="Times New Roman" w:hAnsi="Times New Roman"/>
          <w:sz w:val="20"/>
          <w:u w:val="single"/>
        </w:rPr>
        <w:t>voting stock</w:t>
      </w:r>
      <w:r>
        <w:rPr>
          <w:rFonts w:ascii="Times New Roman" w:hAnsi="Times New Roman"/>
          <w:sz w:val="20"/>
        </w:rPr>
        <w:t xml:space="preserve">” means, with respect to any corporation,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SEVERABILITY </w:t>
      </w:r>
    </w:p>
    <w:p>
      <w:pPr>
        <w:pStyle w:val="TextBody"/>
        <w:bidi w:val="0"/>
        <w:spacing w:before="240" w:after="0"/>
        <w:jc w:val="left"/>
        <w:rPr>
          <w:rFonts w:ascii="Times New Roman" w:hAnsi="Times New Roman"/>
          <w:sz w:val="20"/>
        </w:rPr>
      </w:pPr>
      <w:r>
        <w:rPr>
          <w:rFonts w:ascii="Times New Roman" w:hAnsi="Times New Roman"/>
          <w:sz w:val="20"/>
        </w:rPr>
        <w:t xml:space="preserve">(a) If any provision or provisions of this Amended and Restated Certificate of Incorporation shall be held to be invalid, illegal or unenforceable as applied to any circumstance for any reason whatsoever: (i) the validity, legality and enforceability of such provisions in any other circumstance and of the remaining provisions of this Amended and Restated Certificate of Incorporation (including, without limitation, each portion of any paragraph of this Amended and Restated Certificate of Incorporation containing any such provision held to be invalid, illegal or unenforceable that is not itself held to be invalid, illegal or unenforceable) shall not, to the fullest extent permitted by law, in any way be affected or impaired thereby and (ii) the provisions of this Amended and Restated Certificate of Incorporation (including, without limitation, each such portion of any paragraph of this Amended and Restated Certificate of Incorporation containing any such provision held to be invalid, illegal or unenforceable) shall be construed so as to permit the Company to protect its directors, officers, employees and agents from personal liability in respect of their good faith service to, or for the benefit of, the Company, to the fullest extent permitted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For the avoidance of doubt, for purposes of applying this Amended and Restated Certificate of Incorporation to any contract authorized by Section 122(18) of the DGCL, a restriction, prohibition, or covenant in any such contract that relates to any specified action shall not be deemed contrary to this Amended and Restated Certificate of Incorporation.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FORUM </w:t>
      </w:r>
    </w:p>
    <w:p>
      <w:pPr>
        <w:pStyle w:val="TextBody"/>
        <w:bidi w:val="0"/>
        <w:spacing w:before="240" w:after="0"/>
        <w:jc w:val="left"/>
        <w:rPr>
          <w:rFonts w:ascii="Times New Roman" w:hAnsi="Times New Roman"/>
          <w:sz w:val="20"/>
        </w:rPr>
      </w:pPr>
      <w:r>
        <w:rPr>
          <w:rFonts w:ascii="Times New Roman" w:hAnsi="Times New Roman"/>
          <w:sz w:val="20"/>
        </w:rPr>
        <w:t xml:space="preserve">(a) Unless the Company consents in writing to the selection of an alternative forum, the Court of Chancery of the State of Delaware (or, if and only if the Court of Chancery does not have subject matter jurisdiction, another state court sitting in the State of Delaware or, if and only if neither the Court of Chancery nor any state court sitting in the State of Delaware has subject matter jurisdiction, then the federal district court for the District of Delaware) shall, to the fullest extent permitted by law, be the sole and exclusive forum for (1) any derivative action or proceeding brought on behalf of the Company, (2) any action asserting a claim of breach of a fiduciary duty owed by any current or former director, officer, stockholder or employee of the Company to the Company or the Company’s stockholders, creditors or other constituents, or a claim of aiding and abetting any such breach of fiduciary duty, (3) any action asserting a claim against the Company or any director or officer of the Company arising pursuant to any provision of the DGCL or this Amended and Restated Certificate of Incorporation or the Bylaws (as either may be amended and/or restated from time to time) or as to which the DGCL confers jurisdiction on the Court of Chancery of the State of Delaware, (4) any action to interpret, apply, enforce or determine the validity of this Amended and Restated Certificate of Incorporation or the Bylaws (as either may be amended and/or restated from time to time), (5) any action asserting a claim against the Company or any director or officer of the Company governed by the internal affairs doctrine of the law of the State of Delaware or (6) any action asserting an “internal corporate claim” as that term is defined in Section 115 of the DGCL. The choice of forum provision set forth in this </w:t>
      </w:r>
      <w:r>
        <w:rPr>
          <w:rFonts w:ascii="Times New Roman" w:hAnsi="Times New Roman"/>
          <w:sz w:val="20"/>
          <w:u w:val="single"/>
        </w:rPr>
        <w:t>subsection (a)</w:t>
      </w:r>
      <w:r>
        <w:rPr>
          <w:rFonts w:ascii="Times New Roman" w:hAnsi="Times New Roman"/>
          <w:sz w:val="20"/>
        </w:rPr>
        <w:t> of this</w:t>
      </w:r>
      <w:r>
        <w:rPr>
          <w:rFonts w:ascii="Times New Roman" w:hAnsi="Times New Roman"/>
          <w:sz w:val="20"/>
          <w:u w:val="single"/>
        </w:rPr>
        <w:t xml:space="preserve"> Article XII</w:t>
      </w:r>
      <w:r>
        <w:rPr>
          <w:rFonts w:ascii="Times New Roman" w:hAnsi="Times New Roman"/>
          <w:sz w:val="20"/>
        </w:rPr>
        <w:t xml:space="preserve"> shall not apply to any actions arising under the Securities Act of 1933, as amended (the “</w:t>
      </w:r>
      <w:r>
        <w:rPr>
          <w:rFonts w:ascii="Times New Roman" w:hAnsi="Times New Roman"/>
          <w:b/>
          <w:sz w:val="20"/>
        </w:rPr>
        <w:t>Securities Act</w:t>
      </w:r>
      <w:r>
        <w:rPr>
          <w:rFonts w:ascii="Times New Roman" w:hAnsi="Times New Roman"/>
          <w:sz w:val="20"/>
        </w:rPr>
        <w:t xml:space="preserve">”), or the Exchange Act. </w:t>
      </w:r>
    </w:p>
    <w:p>
      <w:pPr>
        <w:pStyle w:val="TextBody"/>
        <w:bidi w:val="0"/>
        <w:spacing w:before="240" w:after="0"/>
        <w:jc w:val="left"/>
        <w:rPr>
          <w:rFonts w:ascii="Times New Roman" w:hAnsi="Times New Roman"/>
          <w:sz w:val="20"/>
        </w:rPr>
      </w:pPr>
      <w:r>
        <w:rPr>
          <w:rFonts w:ascii="Times New Roman" w:hAnsi="Times New Roman"/>
          <w:sz w:val="20"/>
        </w:rPr>
        <w:t xml:space="preserve">(b) Unless the Company consents in writing to the selection of an alternative forum, the federal district court for the District of Delaware shall be the sole and exclusive forum for the resolution of any complaint asserting a cause of action arising under the Securities Act against the Company or any director or officer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(c) To the fullest extent permitted by law, any person or entity purchasing or otherwise acquiring or holding any interest in shares of capital stock of the Company shall be deemed to have notice of and consented to the provisions of this </w:t>
      </w:r>
      <w:r>
        <w:rPr>
          <w:rFonts w:ascii="Times New Roman" w:hAnsi="Times New Roman"/>
          <w:sz w:val="20"/>
          <w:u w:val="single"/>
        </w:rPr>
        <w:t>Article XII</w:t>
      </w:r>
      <w:r>
        <w:rPr>
          <w:rFonts w:ascii="Times New Roman" w:hAnsi="Times New Roman"/>
          <w:sz w:val="20"/>
        </w:rPr>
        <w:t xml:space="preserve"> and personal jurisdiction and venue in any state or federal court located in the State of Delaware for any action or proceeding set forth in above clauses </w:t>
      </w:r>
      <w:r>
        <w:rPr>
          <w:rFonts w:ascii="Times New Roman" w:hAnsi="Times New Roman"/>
          <w:sz w:val="20"/>
          <w:u w:val="single"/>
        </w:rPr>
        <w:t>(1)</w:t>
      </w:r>
      <w:r>
        <w:rPr>
          <w:rFonts w:ascii="Times New Roman" w:hAnsi="Times New Roman"/>
          <w:sz w:val="20"/>
        </w:rPr>
        <w:t xml:space="preserve"> to </w:t>
      </w:r>
      <w:r>
        <w:rPr>
          <w:rFonts w:ascii="Times New Roman" w:hAnsi="Times New Roman"/>
          <w:sz w:val="20"/>
          <w:u w:val="single"/>
        </w:rPr>
        <w:t>(6)</w:t>
      </w:r>
      <w:r>
        <w:rPr>
          <w:rFonts w:ascii="Times New Roman" w:hAnsi="Times New Roman"/>
          <w:sz w:val="20"/>
        </w:rPr>
        <w:t xml:space="preserve"> of </w:t>
      </w:r>
      <w:r>
        <w:rPr>
          <w:rFonts w:ascii="Times New Roman" w:hAnsi="Times New Roman"/>
          <w:sz w:val="20"/>
          <w:u w:val="single"/>
        </w:rPr>
        <w:t>subsection (a)</w:t>
      </w:r>
      <w:r>
        <w:rPr>
          <w:rFonts w:ascii="Times New Roman" w:hAnsi="Times New Roman"/>
          <w:sz w:val="20"/>
        </w:rPr>
        <w:t xml:space="preserve"> of this </w:t>
      </w:r>
      <w:r>
        <w:rPr>
          <w:rFonts w:ascii="Times New Roman" w:hAnsi="Times New Roman"/>
          <w:sz w:val="20"/>
          <w:u w:val="single"/>
        </w:rPr>
        <w:t>Article XII</w:t>
      </w:r>
      <w:r>
        <w:rPr>
          <w:rFonts w:ascii="Times New Roman" w:hAnsi="Times New Roman"/>
          <w:sz w:val="20"/>
        </w:rPr>
        <w:t xml:space="preserve"> and any complaint set forth in </w:t>
      </w:r>
      <w:r>
        <w:rPr>
          <w:rFonts w:ascii="Times New Roman" w:hAnsi="Times New Roman"/>
          <w:sz w:val="20"/>
          <w:u w:val="single"/>
        </w:rPr>
        <w:t>subsection (b)</w:t>
      </w:r>
      <w:r>
        <w:rPr>
          <w:rFonts w:ascii="Times New Roman" w:hAnsi="Times New Roman"/>
          <w:sz w:val="20"/>
        </w:rPr>
        <w:t xml:space="preserve"> of this </w:t>
      </w:r>
      <w:r>
        <w:rPr>
          <w:rFonts w:ascii="Times New Roman" w:hAnsi="Times New Roman"/>
          <w:sz w:val="20"/>
          <w:u w:val="single"/>
        </w:rPr>
        <w:t>Article XII</w:t>
      </w:r>
      <w:r>
        <w:rPr>
          <w:rFonts w:ascii="Times New Roman" w:hAnsi="Times New Roman"/>
          <w:sz w:val="20"/>
        </w:rPr>
        <w:t xml:space="preserve">. This </w:t>
      </w:r>
      <w:r>
        <w:rPr>
          <w:rFonts w:ascii="Times New Roman" w:hAnsi="Times New Roman"/>
          <w:sz w:val="20"/>
          <w:u w:val="single"/>
        </w:rPr>
        <w:t>Article XII</w:t>
      </w:r>
      <w:r>
        <w:rPr>
          <w:rFonts w:ascii="Times New Roman" w:hAnsi="Times New Roman"/>
          <w:sz w:val="20"/>
        </w:rPr>
        <w:t xml:space="preserve"> is intended to benefit and may be enforced by the Company,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ITG, Inc. has caused this Amended and Restated Certificate of Incorporation to be executed by its duly authorized officer on this day of July 1,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22"/>
        <w:gridCol w:w="60"/>
        <w:gridCol w:w="3400"/>
      </w:tblGrid>
      <w:tr>
        <w:trPr/>
        <w:tc>
          <w:tcPr>
            <w:tcW w:w="62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ITG, Inc.</w:t>
            </w:r>
          </w:p>
        </w:tc>
      </w:tr>
      <w:tr>
        <w:trPr>
          <w:trHeight w:val="240" w:hRule="atLeast"/>
        </w:trPr>
        <w:tc>
          <w:tcPr>
            <w:tcW w:w="622" w:type="dxa"/>
            <w:tcBorders/>
            <w:vAlign w:val="center"/>
          </w:tcPr>
          <w:p>
            <w:pPr>
              <w:pStyle w:val="TableContents"/>
              <w:bidi w:val="0"/>
              <w:spacing w:before="0" w:after="283"/>
              <w:jc w:val="left"/>
              <w:rPr>
                <w:sz w:val="4"/>
                <w:szCs w:val="4"/>
              </w:rPr>
            </w:pPr>
            <w:r>
              <w:rPr>
                <w:sz w:val="4"/>
                <w:szCs w:val="4"/>
              </w:rPr>
            </w:r>
          </w:p>
        </w:tc>
        <w:tc>
          <w:tcPr>
            <w:tcW w:w="3460" w:type="dxa"/>
            <w:gridSpan w:val="2"/>
            <w:tcBorders/>
            <w:vAlign w:val="center"/>
          </w:tcPr>
          <w:p>
            <w:pPr>
              <w:pStyle w:val="TableContents"/>
              <w:bidi w:val="0"/>
              <w:spacing w:before="0" w:after="283"/>
              <w:jc w:val="left"/>
              <w:rPr>
                <w:sz w:val="4"/>
                <w:szCs w:val="4"/>
              </w:rPr>
            </w:pPr>
            <w:r>
              <w:rPr>
                <w:sz w:val="4"/>
                <w:szCs w:val="4"/>
              </w:rPr>
            </w:r>
          </w:p>
        </w:tc>
      </w:tr>
      <w:tr>
        <w:trPr/>
        <w:tc>
          <w:tcPr>
            <w:tcW w:w="622"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0" w:type="dxa"/>
            <w:tcBorders>
              <w:bottom w:val="single" w:sz="2" w:space="0" w:color="000000"/>
            </w:tcBorders>
            <w:tcMar>
              <w:bottom w:w="28" w:type="dxa"/>
            </w:tcMar>
          </w:tcPr>
          <w:p>
            <w:pPr>
              <w:pStyle w:val="TableContents"/>
              <w:bidi w:val="0"/>
              <w:spacing w:before="0" w:after="283"/>
              <w:jc w:val="left"/>
              <w:rPr/>
            </w:pPr>
            <w:r>
              <w:rPr/>
              <w:t>/s/ Christopher Mecray</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Christopher Mecray</w:t>
            </w:r>
          </w:p>
        </w:tc>
      </w:tr>
      <w:tr>
        <w:trPr/>
        <w:tc>
          <w:tcPr>
            <w:tcW w:w="622" w:type="dxa"/>
            <w:tcBorders/>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0" w:type="dxa"/>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Certificate of Incorporation</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5" w:name="d63178dex42.htm"/>
      <w:bookmarkStart w:id="6" w:name="ksd63178dex42"/>
      <w:bookmarkEnd w:id="5"/>
      <w:bookmarkEnd w:id="6"/>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BYLAWS </w:t>
      </w:r>
    </w:p>
    <w:p>
      <w:pPr>
        <w:pStyle w:val="TextBody"/>
        <w:bidi w:val="0"/>
        <w:spacing w:before="120" w:after="0"/>
        <w:jc w:val="center"/>
        <w:rPr>
          <w:rFonts w:ascii="Times New Roman" w:hAnsi="Times New Roman"/>
          <w:b/>
          <w:sz w:val="20"/>
        </w:rPr>
      </w:pPr>
      <w:r>
        <w:rPr>
          <w:rFonts w:ascii="Times New Roman" w:hAnsi="Times New Roman"/>
          <w:b/>
          <w:sz w:val="20"/>
        </w:rPr>
        <w:t xml:space="preserve">OF </w:t>
      </w:r>
    </w:p>
    <w:p>
      <w:pPr>
        <w:pStyle w:val="TextBody"/>
        <w:bidi w:val="0"/>
        <w:spacing w:before="120" w:after="0"/>
        <w:jc w:val="center"/>
        <w:rPr>
          <w:rFonts w:ascii="Times New Roman" w:hAnsi="Times New Roman"/>
          <w:b/>
          <w:sz w:val="20"/>
        </w:rPr>
      </w:pPr>
      <w:r>
        <w:rPr>
          <w:rFonts w:ascii="Times New Roman" w:hAnsi="Times New Roman"/>
          <w:b/>
          <w:sz w:val="20"/>
        </w:rPr>
        <w:t xml:space="preserve">ITG, INC. </w:t>
      </w:r>
    </w:p>
    <w:p>
      <w:pPr>
        <w:pStyle w:val="TextBody"/>
        <w:bidi w:val="0"/>
        <w:spacing w:before="12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Registered Office</w:t>
      </w:r>
      <w:r>
        <w:rPr>
          <w:rFonts w:ascii="Times New Roman" w:hAnsi="Times New Roman"/>
          <w:sz w:val="20"/>
        </w:rPr>
        <w:t>. The address of the registered office of ITG, Inc. (the “</w:t>
      </w:r>
      <w:r>
        <w:rPr>
          <w:rFonts w:ascii="Times New Roman" w:hAnsi="Times New Roman"/>
          <w:b/>
          <w:sz w:val="20"/>
        </w:rPr>
        <w:t>Company</w:t>
      </w:r>
      <w:r>
        <w:rPr>
          <w:rFonts w:ascii="Times New Roman" w:hAnsi="Times New Roman"/>
          <w:sz w:val="20"/>
        </w:rPr>
        <w:t>”) in the State of Delaware is 251 Little Falls Drive, in the City of Wilmington, County of New Castle, Delaware 19808. The name of the Company’s registered agent at such address is Corporation Service Company. The Company may also have offices in such other places in the United States or elsewhere (and may change the Company’s registered agent) as the Board of Directors of the Company (the “</w:t>
      </w:r>
      <w:r>
        <w:rPr>
          <w:rFonts w:ascii="Times New Roman" w:hAnsi="Times New Roman"/>
          <w:b/>
          <w:sz w:val="20"/>
        </w:rPr>
        <w:t>Board</w:t>
      </w:r>
      <w:r>
        <w:rPr>
          <w:rFonts w:ascii="Times New Roman" w:hAnsi="Times New Roman"/>
          <w:sz w:val="20"/>
        </w:rPr>
        <w:t xml:space="preserve">”) may, from time to time, determine or as the business of the Company may require. </w:t>
      </w:r>
    </w:p>
    <w:p>
      <w:pPr>
        <w:pStyle w:val="TextBody"/>
        <w:bidi w:val="0"/>
        <w:spacing w:before="48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MEETINGS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Annual Meetings</w:t>
      </w:r>
      <w:r>
        <w:rPr>
          <w:rFonts w:ascii="Times New Roman" w:hAnsi="Times New Roman"/>
          <w:sz w:val="20"/>
        </w:rPr>
        <w:t xml:space="preserve">. Annual meetings of stockholders of the Company may be held at such place, if any, either within or without the State of Delaware, and at such time and date as the Board shall determine and state in the notice of meeting. The Board may, in its sole discretion, determine that any meeting of stockholders of the Company shall not be held at any place, but may instead be held solely by means of remote communication as described in </w:t>
      </w:r>
      <w:r>
        <w:rPr>
          <w:rFonts w:ascii="Times New Roman" w:hAnsi="Times New Roman"/>
          <w:sz w:val="20"/>
          <w:u w:val="single"/>
        </w:rPr>
        <w:t>Section 2.11</w:t>
      </w:r>
      <w:r>
        <w:rPr>
          <w:rFonts w:ascii="Times New Roman" w:hAnsi="Times New Roman"/>
          <w:sz w:val="20"/>
        </w:rPr>
        <w:t xml:space="preserve"> hereof and in accordance with the General Corporation Law of the State of Delaware (the “</w:t>
      </w:r>
      <w:r>
        <w:rPr>
          <w:rFonts w:ascii="Times New Roman" w:hAnsi="Times New Roman"/>
          <w:b/>
          <w:sz w:val="20"/>
        </w:rPr>
        <w:t>DGCL</w:t>
      </w:r>
      <w:r>
        <w:rPr>
          <w:rFonts w:ascii="Times New Roman" w:hAnsi="Times New Roman"/>
          <w:sz w:val="20"/>
        </w:rPr>
        <w:t xml:space="preserve">”). At the annual meeting, the stockholders of the Company shall elect directors and transact such other business as may properly be brought before the annual meeting. The Board may postpone, reschedule or cancel any annual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Special Meetings</w:t>
      </w:r>
      <w:r>
        <w:rPr>
          <w:rFonts w:ascii="Times New Roman" w:hAnsi="Times New Roman"/>
          <w:sz w:val="20"/>
        </w:rPr>
        <w:t>. Prior to the Trigger Event (as defined in the Company’s Amended and Restated Certificate of Incorporation as then in effect (as the same may be amended and/or restated from time to time, the “</w:t>
      </w:r>
      <w:r>
        <w:rPr>
          <w:rFonts w:ascii="Times New Roman" w:hAnsi="Times New Roman"/>
          <w:b/>
          <w:sz w:val="20"/>
        </w:rPr>
        <w:t>Amended and Restated Certificate of Incorporation</w:t>
      </w:r>
      <w:r>
        <w:rPr>
          <w:rFonts w:ascii="Times New Roman" w:hAnsi="Times New Roman"/>
          <w:sz w:val="20"/>
        </w:rPr>
        <w:t>”)) and except as otherwise required by law and subject to the rights of the holders of any series of Preferred Stock (as defined in the Amended and Restated Certificate of Incorporation), and any rights granted pursuant to the Stockholders Agreement, dated on or about the date hereof, by and among the Company and certain stockholders of the Company from time to time party thereto (as the same may be amended, restated, supplemented and/or otherwise modified from time to time in accordance with its terms, the “</w:t>
      </w:r>
      <w:r>
        <w:rPr>
          <w:rFonts w:ascii="Times New Roman" w:hAnsi="Times New Roman"/>
          <w:b/>
          <w:sz w:val="20"/>
        </w:rPr>
        <w:t>Stockholders Agreement</w:t>
      </w:r>
      <w:r>
        <w:rPr>
          <w:rFonts w:ascii="Times New Roman" w:hAnsi="Times New Roman"/>
          <w:sz w:val="20"/>
        </w:rPr>
        <w:t>”), special meetings of the stockholders of the Company for any purpose or purposes may be called by or at the direction of the Board or the Chair of the Board, and at the request of the Investor (as defined in the Amended and Restated Certificate of Incorporation). From and after the Trigger Event, special meetings of the stockholders of the Company for any purpose or purposes may only be called by the Board or the Chair of the Board. Special meetings of the stockholders of the Company may be held at such place, if any, either within or without the State of Delaware, and at such time and date as determined by the Board, the Chair of the Board, the Chief Executive Officer of the Company (the “</w:t>
      </w:r>
      <w:r>
        <w:rPr>
          <w:rFonts w:ascii="Times New Roman" w:hAnsi="Times New Roman"/>
          <w:b/>
          <w:sz w:val="20"/>
        </w:rPr>
        <w:t>CEO</w:t>
      </w:r>
      <w:r>
        <w:rPr>
          <w:rFonts w:ascii="Times New Roman" w:hAnsi="Times New Roman"/>
          <w:sz w:val="20"/>
        </w:rPr>
        <w:t>”) and, prior to the Trigger Event, by or at the direction of the Board or the Chair of the Board at the request of the Investor. The Chair of the Board or the Board may postpone, reschedule or cancel any special meeting of stockholders previously called by any of them; </w:t>
      </w:r>
      <w:r>
        <w:rPr>
          <w:rFonts w:ascii="Times New Roman" w:hAnsi="Times New Roman"/>
          <w:i/>
          <w:sz w:val="20"/>
        </w:rPr>
        <w:t>provided, however</w:t>
      </w:r>
      <w:r>
        <w:rPr>
          <w:rFonts w:ascii="Times New Roman" w:hAnsi="Times New Roman"/>
          <w:sz w:val="20"/>
        </w:rPr>
        <w:t xml:space="preserve">, that with respect to any special meeting of stockholders of the Company previously scheduled at the request of the Investor, neither the Chair of the Board nor the Board shall postpone, reschedule or cancel such special meeting without the prior written consent of the Investor.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Notice of Stockholder Business and Nominations; Form and Requirements of Notice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Annual Meetings of Stockholders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Nominations of persons for election to the Board and the proposal of other business to be considered by the stockholders of the Company may be made at an annual meeting of the stockholders of the Company only (a) as provided in the Stockholders Agreement; (b) pursuant to the Company’s notice of meeting (or any supplement thereto) delivered pursuant to </w:t>
      </w:r>
      <w:r>
        <w:rPr>
          <w:rFonts w:ascii="Times New Roman" w:hAnsi="Times New Roman"/>
          <w:sz w:val="20"/>
          <w:u w:val="single"/>
        </w:rPr>
        <w:t>Section 2.04</w:t>
      </w:r>
      <w:r>
        <w:rPr>
          <w:rFonts w:ascii="Times New Roman" w:hAnsi="Times New Roman"/>
          <w:sz w:val="20"/>
        </w:rPr>
        <w:t xml:space="preserve"> hereof; (c) by or at the direction of the Board or any authorized committee thereof; or (d) by any stockholder of the Company who is entitled to vote at the meeting, who, subject to </w:t>
      </w:r>
      <w:r>
        <w:rPr>
          <w:rFonts w:ascii="Times New Roman" w:hAnsi="Times New Roman"/>
          <w:sz w:val="20"/>
          <w:u w:val="single"/>
        </w:rPr>
        <w:t>Section 2.03(C)(4)</w:t>
      </w:r>
      <w:r>
        <w:rPr>
          <w:rFonts w:ascii="Times New Roman" w:hAnsi="Times New Roman"/>
          <w:sz w:val="20"/>
        </w:rPr>
        <w:t xml:space="preserve"> hereof, complies with the notice procedures set forth in </w:t>
      </w:r>
      <w:r>
        <w:rPr>
          <w:rFonts w:ascii="Times New Roman" w:hAnsi="Times New Roman"/>
          <w:sz w:val="20"/>
          <w:u w:val="single"/>
        </w:rPr>
        <w:t>Sections 2.03(A)(2)</w:t>
      </w:r>
      <w:r>
        <w:rPr>
          <w:rFonts w:ascii="Times New Roman" w:hAnsi="Times New Roman"/>
          <w:sz w:val="20"/>
        </w:rPr>
        <w:t xml:space="preserve"> and </w:t>
      </w:r>
      <w:r>
        <w:rPr>
          <w:rFonts w:ascii="Times New Roman" w:hAnsi="Times New Roman"/>
          <w:sz w:val="20"/>
          <w:u w:val="single"/>
        </w:rPr>
        <w:t>(A)(3)</w:t>
      </w:r>
      <w:r>
        <w:rPr>
          <w:rFonts w:ascii="Times New Roman" w:hAnsi="Times New Roman"/>
          <w:sz w:val="20"/>
        </w:rPr>
        <w:t xml:space="preserve"> hereof and who is a stockholder of record at the time such notice is delivered to the Secretary of the Company (the “</w:t>
      </w:r>
      <w:r>
        <w:rPr>
          <w:rFonts w:ascii="Times New Roman" w:hAnsi="Times New Roman"/>
          <w:b/>
          <w:sz w:val="20"/>
        </w:rPr>
        <w:t>Secretary</w:t>
      </w:r>
      <w:r>
        <w:rPr>
          <w:rFonts w:ascii="Times New Roman" w:hAnsi="Times New Roman"/>
          <w:sz w:val="20"/>
        </w:rPr>
        <w:t xml:space="preserve">”), on the record date for the determination of stockholders of the Company entitled to vote at the annual meeting, and at the time of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(2) For nominations or other business to be properly brought before an annual meeting by a stockholder of the Company pursuant to </w:t>
      </w:r>
      <w:r>
        <w:rPr>
          <w:rFonts w:ascii="Times New Roman" w:hAnsi="Times New Roman"/>
          <w:sz w:val="20"/>
          <w:u w:val="single"/>
        </w:rPr>
        <w:t>Section 2.03(A)(1)(d)</w:t>
      </w:r>
      <w:r>
        <w:rPr>
          <w:rFonts w:ascii="Times New Roman" w:hAnsi="Times New Roman"/>
          <w:sz w:val="20"/>
        </w:rPr>
        <w:t xml:space="preserve"> hereof, the stockholder must have given timely notice thereof in writing to the Secretary, and, in the case of business other than nominations of persons for election to the Board, such other business must constitute a proper matter for stockholder action. To be timely, a stockholder’s notice shall be delivered to the Secretary at the principal executive offices of the Company in writing not later than the Close of Business (as defined below) on the 90th day nor earlier than the Close of Business on the 120th day prior to the first anniversary of the preceding year’s annual meeting (which anniversary date shall, for purposes of the Company’s first annual meeting of stockholders of the Company after the shares of its Class A Common Stock are first publicly traded (the “</w:t>
      </w:r>
      <w:r>
        <w:rPr>
          <w:rFonts w:ascii="Times New Roman" w:hAnsi="Times New Roman"/>
          <w:b/>
          <w:sz w:val="20"/>
        </w:rPr>
        <w:t>First Annual Meeting</w:t>
      </w:r>
      <w:r>
        <w:rPr>
          <w:rFonts w:ascii="Times New Roman" w:hAnsi="Times New Roman"/>
          <w:sz w:val="20"/>
        </w:rPr>
        <w:t xml:space="preserve">”), be deemed to have occurred on April 15, 2027);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the event that the date of the annual meeting is more than 30 days before or more than 70 days after the anniversary date of the previous year’s meeting, or if no annual meeting was held in the preceding year (other than in connection with the First Annual Meeting), notice by a stockholder of the Company to be timely must be so delivered not earlier than the Close of Business on the 120th day prior to such annual meeting and not later than the Close of Business on the later of the 90th day prior to such annual meeting or the 10th day following the day on which Public Announcement (as defined below) of the date of such meeting is first made. In no event shall the adjournment or postponement of an annual meeting (or the Public Announcement of the adjournment or postponement thereof) commence a new time period (or extend any time period) for the giving of a stockholder’s notice as described above. For the avoidance of doubt, a stockholder shall not be entitled to make additional or substitute nominations following expiration of the time periods set forth in these Bylaws. Notwithstanding anything in this </w:t>
      </w:r>
      <w:r>
        <w:rPr>
          <w:rFonts w:ascii="Times New Roman" w:hAnsi="Times New Roman"/>
          <w:sz w:val="20"/>
          <w:u w:val="single"/>
        </w:rPr>
        <w:t>Section 2.03(A)(2)</w:t>
      </w:r>
      <w:r>
        <w:rPr>
          <w:rFonts w:ascii="Times New Roman" w:hAnsi="Times New Roman"/>
          <w:sz w:val="20"/>
        </w:rPr>
        <w:t xml:space="preserve"> to the contrary, if the number of directors to be elected to the Board at an annual meeting is increased effective after the time period for which nominations would otherwise be due under this </w:t>
      </w:r>
      <w:r>
        <w:rPr>
          <w:rFonts w:ascii="Times New Roman" w:hAnsi="Times New Roman"/>
          <w:sz w:val="20"/>
          <w:u w:val="single"/>
        </w:rPr>
        <w:t>Section 2.03(A)(2)</w:t>
      </w:r>
      <w:r>
        <w:rPr>
          <w:rFonts w:ascii="Times New Roman" w:hAnsi="Times New Roman"/>
          <w:sz w:val="20"/>
        </w:rPr>
        <w:t xml:space="preserve"> and there is no Public Announcement naming all of the nominees for the additional directorships or specifying the size of the increased Board at least 100 days prior to the first anniversary of the prior year’s annual meeting of stockholders of the Company, then a stockholder’s notice required by this </w:t>
      </w:r>
      <w:r>
        <w:rPr>
          <w:rFonts w:ascii="Times New Roman" w:hAnsi="Times New Roman"/>
          <w:sz w:val="20"/>
          <w:u w:val="single"/>
        </w:rPr>
        <w:t>Section 2.03(A)(2)</w:t>
      </w:r>
      <w:r>
        <w:rPr>
          <w:rFonts w:ascii="Times New Roman" w:hAnsi="Times New Roman"/>
          <w:sz w:val="20"/>
        </w:rPr>
        <w:t xml:space="preserve"> shall also be considered timely, but only with respect to nominees for any new positions created by such increase, if it is received by the Secretary at the principal executive offices of the Company in writing not later than the Close of Business on the 10th day following the day on which such Public Announcement is first made. </w:t>
      </w:r>
    </w:p>
    <w:p>
      <w:pPr>
        <w:pStyle w:val="TextBody"/>
        <w:bidi w:val="0"/>
        <w:spacing w:before="240" w:after="0"/>
        <w:jc w:val="left"/>
        <w:rPr>
          <w:rFonts w:ascii="Times New Roman" w:hAnsi="Times New Roman"/>
          <w:sz w:val="20"/>
        </w:rPr>
      </w:pPr>
      <w:r>
        <w:rPr>
          <w:rFonts w:ascii="Times New Roman" w:hAnsi="Times New Roman"/>
          <w:sz w:val="20"/>
        </w:rPr>
        <w:t>(3) To be in proper form, a stockholder’s notice to the Secretary (the stockholder providing such notice, the “</w:t>
      </w:r>
      <w:r>
        <w:rPr>
          <w:rFonts w:ascii="Times New Roman" w:hAnsi="Times New Roman"/>
          <w:b/>
          <w:sz w:val="20"/>
        </w:rPr>
        <w:t>Noticing Stockholder</w:t>
      </w:r>
      <w:r>
        <w:rPr>
          <w:rFonts w:ascii="Times New Roman" w:hAnsi="Times New Roman"/>
          <w:sz w:val="20"/>
        </w:rPr>
        <w:t xml:space="preserve">”) under this </w:t>
      </w:r>
      <w:r>
        <w:rPr>
          <w:rFonts w:ascii="Times New Roman" w:hAnsi="Times New Roman"/>
          <w:sz w:val="20"/>
          <w:u w:val="single"/>
        </w:rPr>
        <w:t>Section 2.03(A)</w:t>
      </w:r>
      <w:r>
        <w:rPr>
          <w:rFonts w:ascii="Times New Roman" w:hAnsi="Times New Roman"/>
          <w:sz w:val="20"/>
        </w:rPr>
        <w:t xml:space="preserve"> must: </w:t>
      </w:r>
    </w:p>
    <w:p>
      <w:pPr>
        <w:pStyle w:val="TextBody"/>
        <w:bidi w:val="0"/>
        <w:spacing w:before="120" w:after="0"/>
        <w:jc w:val="left"/>
        <w:rPr>
          <w:rFonts w:ascii="Times New Roman" w:hAnsi="Times New Roman"/>
          <w:sz w:val="20"/>
        </w:rPr>
      </w:pPr>
      <w:r>
        <w:rPr>
          <w:rFonts w:ascii="Times New Roman" w:hAnsi="Times New Roman"/>
          <w:sz w:val="20"/>
        </w:rPr>
        <w:t>(a) as to each person whom the Noticing Stockholder proposes to nominate for election or re-election as a director, set forth or provide (i) the name, age, business address and residence address of such person, (ii) the principal occupation or employment of such person (present and for the past five years), (iii) the class or series and number of shares of the Company which are, directly or indirectly, owned beneficially and/or of record by such person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this </w:t>
      </w:r>
      <w:r>
        <w:rPr>
          <w:rFonts w:ascii="Times New Roman" w:hAnsi="Times New Roman"/>
          <w:sz w:val="20"/>
          <w:u w:val="single"/>
        </w:rPr>
        <w:t>Section 2.03(A)(3)(a</w:t>
      </w:r>
      <w:r>
        <w:rPr>
          <w:rFonts w:ascii="Times New Roman" w:hAnsi="Times New Roman"/>
          <w:sz w:val="20"/>
        </w:rPr>
        <w:t>), such person shall in all events be deemed to beneficially own any shares of the Company as to which such person has a right to acquire beneficial ownership of at any time in the future), (iv) all information relating to such person that is required to be disclosed in solicitations of proxies for election of directors in an election contest or that is otherwise required pursuant to and in accordance with Regulation 14A under the Securities Exchange Act of 1934, as amended (the “</w:t>
      </w:r>
      <w:r>
        <w:rPr>
          <w:rFonts w:ascii="Times New Roman" w:hAnsi="Times New Roman"/>
          <w:b/>
          <w:sz w:val="20"/>
        </w:rPr>
        <w:t>Exchange Act</w:t>
      </w:r>
      <w:r>
        <w:rPr>
          <w:rFonts w:ascii="Times New Roman" w:hAnsi="Times New Roman"/>
          <w:sz w:val="20"/>
        </w:rPr>
        <w:t>”) and the rules and regulations promulgated thereunder, (v) a complete and accurate description of any current or prior agreements, arrangements and understandings, and any other material relationships between or among the Noticing Stockholder, any beneficial owner on whose behalf the nomination or proposal is made (collectively with the Noticing Stockholder, the “</w:t>
      </w:r>
      <w:r>
        <w:rPr>
          <w:rFonts w:ascii="Times New Roman" w:hAnsi="Times New Roman"/>
          <w:b/>
          <w:sz w:val="20"/>
        </w:rPr>
        <w:t>Holders</w:t>
      </w:r>
      <w:r>
        <w:rPr>
          <w:rFonts w:ascii="Times New Roman" w:hAnsi="Times New Roman"/>
          <w:sz w:val="20"/>
        </w:rPr>
        <w:t xml:space="preserve">”), any of their respective affiliates and associates within the meaning of Rule 12b-2 under the Exchange Act, or others acting in concert therewith, on the one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hand, and each proposed nominee, and his or her respective affiliates and associates, or others acting in concert therewith, on the other hand, including all information that would be required to be disclosed pursuant to Item 404 promulgated under Regulation S-K (or any successor provision) if any Holder, any affiliate or associate thereof or person acting in concert therewith, were the “registrant” for purposes of such rule and the nominee were a director or executive officer of such registrant, (vi) a complete and accurate description of all direct and indirect compensation and other material monetary agreements, arrangements and understandings (whether written or oral) during the past three years, between or among any Holder, any of its affiliates or associates, or others acting in concert therewith, on the one hand, and each nominee, and his or her respective affiliates and associates, or others acting in concert therewith, on the other hand, (vii) a notarized letter signed by such person stating his or her acceptance of the nomination by the Holder, stating his or her intention to serve as a director for a full term on the Board, if elected, and consenting to being named as a nominee for director in a proxy statement relating to such election, (viii) a completed and signed questionnaire and written representation and agreement, each as may be required by </w:t>
      </w:r>
      <w:r>
        <w:rPr>
          <w:rFonts w:ascii="Times New Roman" w:hAnsi="Times New Roman"/>
          <w:sz w:val="20"/>
          <w:u w:val="single"/>
        </w:rPr>
        <w:t>Section 2.03(A)(4)</w:t>
      </w:r>
      <w:r>
        <w:rPr>
          <w:rFonts w:ascii="Times New Roman" w:hAnsi="Times New Roman"/>
          <w:sz w:val="20"/>
        </w:rPr>
        <w:t xml:space="preserve"> hereof and (ix) all information relating to the nominee that would be required by this </w:t>
      </w:r>
      <w:r>
        <w:rPr>
          <w:rFonts w:ascii="Times New Roman" w:hAnsi="Times New Roman"/>
          <w:sz w:val="20"/>
          <w:u w:val="single"/>
        </w:rPr>
        <w:t>Section 2.03(A)</w:t>
      </w:r>
      <w:r>
        <w:rPr>
          <w:rFonts w:ascii="Times New Roman" w:hAnsi="Times New Roman"/>
          <w:sz w:val="20"/>
        </w:rPr>
        <w:t xml:space="preserve"> to be set forth in a stockholder’s notice with respect to a director nomination if such nominee were a stockholder providing notice of a director nomination to be made at the meeting; </w:t>
      </w:r>
    </w:p>
    <w:p>
      <w:pPr>
        <w:pStyle w:val="TextBody"/>
        <w:bidi w:val="0"/>
        <w:spacing w:before="120" w:after="0"/>
        <w:jc w:val="left"/>
        <w:rPr>
          <w:rFonts w:ascii="Times New Roman" w:hAnsi="Times New Roman"/>
          <w:sz w:val="20"/>
        </w:rPr>
      </w:pPr>
      <w:r>
        <w:rPr>
          <w:rFonts w:ascii="Times New Roman" w:hAnsi="Times New Roman"/>
          <w:sz w:val="20"/>
        </w:rPr>
        <w:t>(b) as to any business that the Noticing Stockholder proposes to bring before the meeting, set forth or provide (i) a brief description of the business desired to be brought before the meeting, (ii) the text, if any, of the proposal (including the text of any resolutions proposed for consideration and in the event that such business includes a proposal to amend the Amended and Restated Bylaws (“</w:t>
      </w:r>
      <w:r>
        <w:rPr>
          <w:rFonts w:ascii="Times New Roman" w:hAnsi="Times New Roman"/>
          <w:b/>
          <w:sz w:val="20"/>
        </w:rPr>
        <w:t>Bylaws</w:t>
      </w:r>
      <w:r>
        <w:rPr>
          <w:rFonts w:ascii="Times New Roman" w:hAnsi="Times New Roman"/>
          <w:sz w:val="20"/>
        </w:rPr>
        <w:t xml:space="preserve">”) of the Company, the language of the proposed amendment), (iii) the reasons for conducting such business at the meeting and any material interest in such business of any Holder and (iv) a complete and accurate description of any current or prior agreements, arrangements and understandings, and any other material relationships between or among the Holders, any of their respective affiliates and associates, or others acting in concert therewith, on the one hand, and each proposed nominee, and his or her respective affiliates and associates, or others acting in concert therewith, on the other hand, in connection with the proposal of such business by such Noticing Stockholder, including all information that would be required to be disclosed pursuant to Item 404 promulgated under Regulation S-K (or any successor provision) if any Holder, any affiliate or associate thereof or person acting in concert therewith, were the “registrant” for purposes of such rule and the nominee were a director or executive officer of such registrant; and </w:t>
      </w:r>
    </w:p>
    <w:p>
      <w:pPr>
        <w:pStyle w:val="TextBody"/>
        <w:bidi w:val="0"/>
        <w:spacing w:before="120" w:after="0"/>
        <w:jc w:val="left"/>
        <w:rPr>
          <w:rFonts w:ascii="Times New Roman" w:hAnsi="Times New Roman"/>
          <w:sz w:val="20"/>
        </w:rPr>
      </w:pPr>
      <w:r>
        <w:rPr>
          <w:rFonts w:ascii="Times New Roman" w:hAnsi="Times New Roman"/>
          <w:sz w:val="20"/>
        </w:rPr>
        <w:t>(c) as to the Holders, set forth (i) the name, age and address of the Noticing Stockholder as they appear on the Company’s books, (ii) the name and address of all other Holders, if any, and each Stockholder Associated Person (as defined below) of any Holder, (iii) the class or series and number of shares of the Company that are, directly or indirectly, owned beneficially and/or of record by each Holder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for purposes of this </w:t>
      </w:r>
      <w:r>
        <w:rPr>
          <w:rFonts w:ascii="Times New Roman" w:hAnsi="Times New Roman"/>
          <w:sz w:val="20"/>
          <w:u w:val="single"/>
        </w:rPr>
        <w:t>Section 2.03(A)(3)(c</w:t>
      </w:r>
      <w:r>
        <w:rPr>
          <w:rFonts w:ascii="Times New Roman" w:hAnsi="Times New Roman"/>
          <w:sz w:val="20"/>
        </w:rPr>
        <w:t xml:space="preserve">), any such person shall in all events be deemed to beneficially own any shares of the Company as to which such person has a right to acquire beneficial ownership of at any time in the future), any person controlling, directly or indirectly, or acting in concert with, any Holder and any person controlled by or under common control with any Holder, (iv) the Ownership Information (as defined below) for each Holder and Stockholder Associated Person, (v) whether and to the extent to which a Hedging Transaction (as defined below) has been entered into by or on behalf of any Holder or any Stockholder Associated Person, (vi) any material pending or threatened action, suit, or proceeding (whether civil, criminal, investigative, administrative, or otherwise) in which any Holder or any Stockholder Associated Person is, or is reasonably expected to be made, a party or material participant involving the Company or any of its officers, directors or employees, or any affiliate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or any officer, director or employee of such affiliate, (vii)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 of such Holder, (viii) a representation by the Noticing Stockholder that the Noticing Stockholder is a stockholder of record of the Company entitled to vote at the meeting, will continue to be a stockholder of record of the Company entitled to vote at such meeting through the date of such meeting and intends to appear in person or by proxy at the meeting to propose such business or nomination, (ix) a representation as to whether any Holder intends or is part of a group which intends to (A) deliver a proxy statement and/or form of proxy to holders of at least the percentage of the outstanding shares of the Company required to approve or adopt the proposal or elect the nominee and/or (B) otherwise solicit proxies from stockholders of the Company in support of such proposal or nomination, (x) in connection with a nomination for any persons for election as director, a representation by the Noticing Stockholder whether any Holder intends, or is part of a group which intends, to solicit proxies in support of any proposed nominee in accordance with Rule 14a-19 promulgated under the Exchange Act, (xi) a certification regarding whether each Holder has complied with all applicable federal, state and other legal requirements in connection with its acquisition of shares or other securities of the Company and such Holder’s acts or omissions as a stockholder of the Company, (xii) the names and addresses of other stockholders (including beneficial owners) known by any of the Holder or Stockholder Associated Person to support such proposal or nomination or nominations, and to the extent known the class and number of all shares of the Company’s capital stock owned beneficially or of record by such other stockholder(s) or other beneficial owner(s), and (xiii) the Noticing Stockholder’s representation as to the accuracy of the information set forth in the notice. </w:t>
      </w:r>
    </w:p>
    <w:p>
      <w:pPr>
        <w:pStyle w:val="TextBody"/>
        <w:bidi w:val="0"/>
        <w:spacing w:before="120" w:after="0"/>
        <w:jc w:val="left"/>
        <w:rPr>
          <w:rFonts w:ascii="Times New Roman" w:hAnsi="Times New Roman"/>
          <w:sz w:val="20"/>
        </w:rPr>
      </w:pPr>
      <w:r>
        <w:rPr>
          <w:rFonts w:ascii="Times New Roman" w:hAnsi="Times New Roman"/>
          <w:sz w:val="20"/>
        </w:rPr>
        <w:t xml:space="preserve">The Company may also, as a condition to any such nomination or business being deemed properly brought before an annual meeting, request any Holder or proposed nominee to deliver to the Secretary, within five Business Days of any such request, including such other information as may be reasonably requested by the Company, including, without limitation, such other information as may be reasonably required by the Board, in its sole discretion, to determine (i) the eligibility of a proposed nominee to serve as a director of the Company, (ii) whether such nominee qualifies as an “independent director” or “audit committee financial expert” under applicable law, securities exchange rule or regulation, or any publicly disclosed corporate governance guideline or committee charter of the Company and (iii) such other information that the Board determines, in its sole discretion, could be material to a reasonable stockholder’s understanding of the independence, or lack thereof, of such nominee. </w:t>
      </w:r>
    </w:p>
    <w:p>
      <w:pPr>
        <w:pStyle w:val="TextBody"/>
        <w:bidi w:val="0"/>
        <w:spacing w:before="120" w:after="0"/>
        <w:jc w:val="left"/>
        <w:rPr>
          <w:rFonts w:ascii="Times New Roman" w:hAnsi="Times New Roman"/>
          <w:sz w:val="20"/>
        </w:rPr>
      </w:pPr>
      <w:r>
        <w:rPr>
          <w:rFonts w:ascii="Times New Roman" w:hAnsi="Times New Roman"/>
          <w:sz w:val="20"/>
        </w:rPr>
        <w:t xml:space="preserve">A Noticing Stockholder shall further update and supplement its notice of any nomination or other business proposed to be brought before a meeting, if necessary, so that the information provided or required to be provided in such notice pursuant to this </w:t>
      </w:r>
      <w:r>
        <w:rPr>
          <w:rFonts w:ascii="Times New Roman" w:hAnsi="Times New Roman"/>
          <w:sz w:val="20"/>
          <w:u w:val="single"/>
        </w:rPr>
        <w:t>Section 2.03</w:t>
      </w:r>
      <w:r>
        <w:rPr>
          <w:rFonts w:ascii="Times New Roman" w:hAnsi="Times New Roman"/>
          <w:sz w:val="20"/>
        </w:rPr>
        <w:t xml:space="preserve"> shall be true and correct (i) as of the record date for the meeting and (ii) as of the date that is 10 Business Days prior to the meeting or any adjournment, recess, rescheduling or postponement thereof and such update and supplement shall be delivered to the Secretary at the principal executive offices of the Company not later than five Business Days after the record date for the meeting (in the case of the update and supplement required to be made as of the record date) and not later than eight Business Days prior to the date for the meeting, or any adjournment, recess, rescheduling or postponement thereof (in the case of the update and supplement required to be made as of 10 Business Days prior to the meeting or any adjournment, recess, rescheduling or postponement thereof). In addition, if the Noticing Stockholder has delivered to the Company a notice relating to the nomination of directors, the Noticing Stockholder shall deliver to the Company not later than eight Business Days prior to the date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adjournment, recess, rescheduling or postponement thereof (or, if not practicable, on the first practicable date prior to the date to which the meeting has been adjourned or postponed) reasonable evidence that it has complied with the requirements of Rule 14a-19 of the Exchange Act (or any successor provision). For the avoidance of doubt, the obligation to update and supplement set forth in this paragraph shall not limit the Company’s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provisions of this </w:t>
      </w:r>
      <w:r>
        <w:rPr>
          <w:rFonts w:ascii="Times New Roman" w:hAnsi="Times New Roman"/>
          <w:sz w:val="20"/>
          <w:u w:val="single"/>
        </w:rPr>
        <w:t>Section 2.03</w:t>
      </w:r>
      <w:r>
        <w:rPr>
          <w:rFonts w:ascii="Times New Roman" w:hAnsi="Times New Roman"/>
          <w:sz w:val="20"/>
        </w:rPr>
        <w:t xml:space="preserve">, unless otherwise required by law, if the Noticing Stockholder (or a qualified representative of the Noticing Stockholder) does not appear at the meeting of stockholders of the Company and present his or her proposed business or nomination(s), such proposed business will not be transacted and any such nomination will be disregarded, notwithstanding that proxies in respect of such vote may have been received by the Company. For purposes of this </w:t>
      </w:r>
      <w:r>
        <w:rPr>
          <w:rFonts w:ascii="Times New Roman" w:hAnsi="Times New Roman"/>
          <w:sz w:val="20"/>
          <w:u w:val="single"/>
        </w:rPr>
        <w:t>Section 2.03</w:t>
      </w:r>
      <w:r>
        <w:rPr>
          <w:rFonts w:ascii="Times New Roman" w:hAnsi="Times New Roman"/>
          <w:sz w:val="20"/>
        </w:rPr>
        <w:t xml:space="preserve">, to be considered a qualified representative of a stockholder of the Company, a person must be a duly authorized officer, manager or partner of such stockholder or must be authorized by a writing executed by such stockholder (or a reliable reproduction or electronic transmission of the writing) stating that such person is authorized to act for such stockholder as a proxy at the meeting of stockholders of the Company, and such person must produce proof that he or she is a duly authorized officer, manager or partner of such stockholder or such writing or electronic transmission, or a reliable reproduction of the writing or electronic transmission, as well as valid government-issued photo identification, at the meeting of stockholders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anything to the contrary contained in these Bylaws, if the person whom the Noticing Stockholder proposes to nominate for election or re-election as a director pursuant to the notice procedures set forth in Sections 2.03(A)(2) and (A)(3) hereof becomes ineligible or unwilling to serve on the Board, the Noticing Stockholder may not, at the annual meeting for which its notice for nomination has previously been given, propose to nominate any substitute, successor or replacement nominee for election or re-election as a director, unless it gives a new timely notice pursuant to </w:t>
      </w:r>
      <w:r>
        <w:rPr>
          <w:rFonts w:ascii="Times New Roman" w:hAnsi="Times New Roman"/>
          <w:sz w:val="20"/>
          <w:u w:val="single"/>
        </w:rPr>
        <w:t>Section 2.03(A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(d) For purposes of this section, “</w:t>
      </w:r>
      <w:r>
        <w:rPr>
          <w:rFonts w:ascii="Times New Roman" w:hAnsi="Times New Roman"/>
          <w:b/>
          <w:sz w:val="20"/>
        </w:rPr>
        <w:t>Ownership Information</w:t>
      </w:r>
      <w:r>
        <w:rPr>
          <w:rFonts w:ascii="Times New Roman" w:hAnsi="Times New Roman"/>
          <w:sz w:val="20"/>
        </w:rPr>
        <w:t>” means: (i) any option, warrant, convertible security, stock appreciation right, or similar right with an exercise or conversion privilege or a settlement payment or mechanism at a price related to any class or series of shares of the Company or with a value derived in whole in or part from the value of any class or series of shares of the Company, whether or not the instrument or right is subject to settlement in the underlying class or series of shares of the Company or otherwise (a “</w:t>
      </w:r>
      <w:r>
        <w:rPr>
          <w:rFonts w:ascii="Times New Roman" w:hAnsi="Times New Roman"/>
          <w:b/>
          <w:sz w:val="20"/>
        </w:rPr>
        <w:t>Derivative Instrument</w:t>
      </w:r>
      <w:r>
        <w:rPr>
          <w:rFonts w:ascii="Times New Roman" w:hAnsi="Times New Roman"/>
          <w:sz w:val="20"/>
        </w:rPr>
        <w:t xml:space="preserve">”) that is directly or indirectly owned beneficially by any Holder, Stockholder Associated Person or proposed nominee and any other direct or indirect opportunity to profit or share in any profit derived from any increase or decrease in the value of any security of the Company; (ii) any agreement, arrangement or understanding (including any contract to purchase or sell, acquisition or grant of any option, right or warrant to purchase or sell, swap or other instrument) between any Holder, Stockholder Associated Person, proposed nominee and/or any others acting in concert with any of the foregoing the intent or effect of which may be to transfer to or from any such person, in whole or in part, any of the economic consequences of ownership of any security of the Company or to increase or decrease the voting power of any such person or any of such person’s affiliates or associates with respect to any security of the Company; (iii) any proxy, contract, arrangement, understanding or relationship pursuant to which any Holder, Stockholder Associated Person or proposed nominee has a right to vote or has granted a right to vote any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(iv) any short interest held by any Holder, Stockholder Associated Person or proposed nominee presently or within the last 12 months in any shares of the Company (for purposes of this </w:t>
      </w:r>
      <w:r>
        <w:rPr>
          <w:rFonts w:ascii="Times New Roman" w:hAnsi="Times New Roman"/>
          <w:sz w:val="20"/>
          <w:u w:val="single"/>
        </w:rPr>
        <w:t>Section 2.03</w:t>
      </w:r>
      <w:r>
        <w:rPr>
          <w:rFonts w:ascii="Times New Roman" w:hAnsi="Times New Roman"/>
          <w:sz w:val="20"/>
        </w:rPr>
        <w:t>, a Holder, Stockholder Associated Person or proposed nominee is deemed to hold a short interest in a security if such Holder, Stockholder Associated Person or proposed nominee, directly or indirectly, through any contract, arrangement, understanding, relationship or otherwise, has the opportunity to profit or share in any profit derived from any decrease in the value of the subject security); (v) any right to dividends on shares of the Company owned beneficially by any Holder, Stockholder Associated Person or proposed nominee that is separated or separable from the underlying shares of the Company; (vi) any proportionate interest in shares of the Company; (vii) any Derivative Instrument held, directly or indirectly, by a general or limited partnership or limited liability company or similar entity in which any Holder, Stockholder Associated Person or proposed nominee is (a) a general partner or, directly or indirectly, beneficially owns any interest in a general partner, or (b) is the manager or managing member or, directly or indirectly, beneficially owns any interest in the manager or managing member of a limited liability company or similar entity; (viii) any performance-related fees (other than an asset-based fee) that any Holder, Stockholder Associated Person or proposed nominee is entitled to based on any increase or decrease in the value of shares of the Company or any Derivative Instrument; (ix) any direct or indirect legal, economic or financial interest (including short interest) of any Holder, Stockholder Associated Person or proposed nominee in the outcome of any vote to be taken at (A) any annual or special meeting of stockholders of the Company or (B) any meeting of stockholders of the Company or any other entity with respect to any matter that is substantially related, directly or indirectly, to any nomination or business proposed by any Holder under this Bylaw; and (x) any arrangement, right or other interest described in the preceding clauses of this paragraph held by any member of the immediate family of any Holder, Stockholder Associated Person or proposed nominee that shares the same household with such Holder or Stockholder Associated Person. “Hedging Transaction” means, with respect to any Holder or any Stockholder Associated Person, any hedging or other transaction (such as borrowed or loaned shares) or series of transactions, or any other agreement, arrangement, or understanding, the effect or intent of which is to increase or decrease the voting power or economic or pecuniary interest of such Holder or any Stockholder Associated Person with respect to the Company’s securities. “</w:t>
      </w:r>
      <w:r>
        <w:rPr>
          <w:rFonts w:ascii="Times New Roman" w:hAnsi="Times New Roman"/>
          <w:b/>
          <w:sz w:val="20"/>
        </w:rPr>
        <w:t>Stockholder Associated Person</w:t>
      </w:r>
      <w:r>
        <w:rPr>
          <w:rFonts w:ascii="Times New Roman" w:hAnsi="Times New Roman"/>
          <w:sz w:val="20"/>
        </w:rPr>
        <w:t xml:space="preserve">” means as to any Holder (x) any person acting in concert with such Holder, (y) any person controlling, controlled by or under common control with such Holder or any of their respective affiliates and associates, or person acting in concert therewith and (z) any member of the immediate family of such Holder or an affiliate or associate of such Holder. As used in these Bylaws, the terms “affiliate(s)” and “associate(s)” shall have the meanings attributed to such terms in Rule 12b-2 under the Exchange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(4) To be eligible to be a nominee for election or re-election as a director of the Company pursuant to this </w:t>
      </w:r>
      <w:r>
        <w:rPr>
          <w:rFonts w:ascii="Times New Roman" w:hAnsi="Times New Roman"/>
          <w:sz w:val="20"/>
          <w:u w:val="single"/>
        </w:rPr>
        <w:t>Section 2.03</w:t>
      </w:r>
      <w:r>
        <w:rPr>
          <w:rFonts w:ascii="Times New Roman" w:hAnsi="Times New Roman"/>
          <w:sz w:val="20"/>
        </w:rPr>
        <w:t xml:space="preserve">, a proposed nominee must deliver (in the case of a nominee nominated by a stockholder of the Company pursuant to this </w:t>
      </w:r>
      <w:r>
        <w:rPr>
          <w:rFonts w:ascii="Times New Roman" w:hAnsi="Times New Roman"/>
          <w:sz w:val="20"/>
          <w:u w:val="single"/>
        </w:rPr>
        <w:t>Section 2.03</w:t>
      </w:r>
      <w:r>
        <w:rPr>
          <w:rFonts w:ascii="Times New Roman" w:hAnsi="Times New Roman"/>
          <w:sz w:val="20"/>
        </w:rPr>
        <w:t>, in accordance with the time periods and other requirements prescribed for delivery of notice under these Bylaws and applicable law) to the Secretary at the principal executive offices of the Company (i) a written questionnaire with respect to the background and qualification of such person and the background of any other person or entity on whose behalf the nomination is being made (in the form to be provided by the Secretary upon written request of any stockholder of record identified by name within five Business Days of such written request) and (ii) an irrevocable, contingent resignation, in a form acceptable to the Board, (iii) a written representation and agreement (in the form to be provided by the Secretary upon written request of any stockholder of record identified by name within five Business Days of such written request) that such person (A) is not and will not become a party to (1) any agreement, arrangement or understanding (whether written or oral) with, and has not given any commitment or assurance to, any person or entity as to how such person, if elected as a director of the Company, will act or vote in such capacity on any issue or question (a “</w:t>
      </w:r>
      <w:r>
        <w:rPr>
          <w:rFonts w:ascii="Times New Roman" w:hAnsi="Times New Roman"/>
          <w:b/>
          <w:sz w:val="20"/>
        </w:rPr>
        <w:t>Voting Commitment</w:t>
      </w:r>
      <w:r>
        <w:rPr>
          <w:rFonts w:ascii="Times New Roman" w:hAnsi="Times New Roman"/>
          <w:sz w:val="20"/>
        </w:rPr>
        <w:t xml:space="preserve">”) that has not been disclosed to the Company or (2) any Voting Commitment that could limit or interfere with such person’s ability to comply, if elected as a director of the Company, with such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fiduciary duties under applicable law, (B) is not and will not become a party to any agreement, arrangement or understanding (whether written or oral) with any person or entity other than the Company with respect to any direct or indirect compensation, reimbursement or indemnification in connection with service or action as a director of the Company that has not been disclosed to the Company, (C) if elected as director of the Company, intends to serve for a full term on the Board and (D) in such person’s individual capacity and on behalf of any person or entity on whose behalf the nomination is being made, would be in compliance, if elected as a director of the Company, and will comply with all applicable laws and all applicable rules of the U.S. exchanges upon which the securities of the Company are listed and all applicable publicly disclosed corporate governance, conflict of interest, confidentiality and stock ownership and trading policies and other guidelines of the Company duly adopted by the Board, and (iv) the information and statement required by Rule 14a-19(b) of the Exchange Act (or any successor provision).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Special Meetings of Stockholders of the Company</w:t>
      </w:r>
      <w:r>
        <w:rPr>
          <w:rFonts w:ascii="Times New Roman" w:hAnsi="Times New Roman"/>
          <w:sz w:val="20"/>
        </w:rPr>
        <w:t xml:space="preserve">. Only such business shall be conducted at a special meeting of stockholders of the Company as shall have been brought before the meeting pursuant to the Company’s notice of meeting. Nominations of persons for election to the Board may be made at a special meeting of stockholders of the Company at which directors are to be elected pursuant to the Company’s notice of meeting (1) as provided for in the Stockholders Agreement, (2) by or at the direction of the Board or any committee thereof or (3) provided that the Board (or the Investor pursuant to the Stockholders Agreement) has determined that directors shall be elected at such meeting, by any stockholder of the Company who is entitled to vote at the meeting on such matters, who (subject to </w:t>
      </w:r>
      <w:r>
        <w:rPr>
          <w:rFonts w:ascii="Times New Roman" w:hAnsi="Times New Roman"/>
          <w:sz w:val="20"/>
          <w:u w:val="single"/>
        </w:rPr>
        <w:t>Section 2.03(C)(4)</w:t>
      </w:r>
      <w:r>
        <w:rPr>
          <w:rFonts w:ascii="Times New Roman" w:hAnsi="Times New Roman"/>
          <w:sz w:val="20"/>
        </w:rPr>
        <w:t xml:space="preserve">) complies with the notice procedures set forth in this </w:t>
      </w:r>
      <w:r>
        <w:rPr>
          <w:rFonts w:ascii="Times New Roman" w:hAnsi="Times New Roman"/>
          <w:sz w:val="20"/>
          <w:u w:val="single"/>
        </w:rPr>
        <w:t>Section 2.03</w:t>
      </w:r>
      <w:r>
        <w:rPr>
          <w:rFonts w:ascii="Times New Roman" w:hAnsi="Times New Roman"/>
          <w:sz w:val="20"/>
        </w:rPr>
        <w:t xml:space="preserve"> and who is a stockholder of record at the time such notice is delivered to the Secretary at the principal executive offices of the Company, on the record date for the determination of stockholders of the Company entitled to vote at the special meeting and at the time of the special meeting. In the event that the Company calls a special meeting of stockholders of the Company for the purpose of electing one or more directors to the Board, any such stockholder entitled to vote in such election of directors may nominate a person or persons (as the case may be) for election to such position(s) as specified in the Company’s notice of meeting if the stockholder’s notice as required, if such stockholder’s notice for a special meeting were for an annual meeting, by </w:t>
      </w:r>
      <w:r>
        <w:rPr>
          <w:rFonts w:ascii="Times New Roman" w:hAnsi="Times New Roman"/>
          <w:sz w:val="20"/>
          <w:u w:val="single"/>
        </w:rPr>
        <w:t>Section 2.03(A)(2)</w:t>
      </w:r>
      <w:r>
        <w:rPr>
          <w:rFonts w:ascii="Times New Roman" w:hAnsi="Times New Roman"/>
          <w:sz w:val="20"/>
        </w:rPr>
        <w:t xml:space="preserve"> hereof shall be delivered to the Secretary at the principal executive offices of the Company not earlier than the Close of Business on the 120th day prior to such special meeting and not later than the Close of Business on the later of the 90th day prior to such special meeting or the 10th day following the day on which Public Announcement is first made of the date of such special meeting and of the nominees proposed by the Board to be elected at such meeting. In no event shall the adjournment or postponement of a special meeting (or the Public Announcement of the adjournment or postponement thereof) commence a new time period (or extend any time period) for the giving of a stockholder’s notice as described above.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General</w:t>
      </w:r>
      <w:r>
        <w:rPr>
          <w:rFonts w:ascii="Times New Roman" w:hAnsi="Times New Roman"/>
          <w:sz w:val="20"/>
        </w:rPr>
        <w:t xml:space="preserve">. (1) Except as provided in </w:t>
      </w:r>
      <w:r>
        <w:rPr>
          <w:rFonts w:ascii="Times New Roman" w:hAnsi="Times New Roman"/>
          <w:sz w:val="20"/>
          <w:u w:val="single"/>
        </w:rPr>
        <w:t>Section 2.03(C)(4)</w:t>
      </w:r>
      <w:r>
        <w:rPr>
          <w:rFonts w:ascii="Times New Roman" w:hAnsi="Times New Roman"/>
          <w:sz w:val="20"/>
        </w:rPr>
        <w:t xml:space="preserve"> hereof, only such persons who are nominated in accordance with the procedures set forth in this </w:t>
      </w:r>
      <w:r>
        <w:rPr>
          <w:rFonts w:ascii="Times New Roman" w:hAnsi="Times New Roman"/>
          <w:sz w:val="20"/>
          <w:u w:val="single"/>
        </w:rPr>
        <w:t>Section 2.03</w:t>
      </w:r>
      <w:r>
        <w:rPr>
          <w:rFonts w:ascii="Times New Roman" w:hAnsi="Times New Roman"/>
          <w:sz w:val="20"/>
        </w:rPr>
        <w:t xml:space="preserve"> shall be eligible to serve as a director and only such business shall be conducted at an annual or special meeting of stockholders of the Company as shall have been brought before the meeting in accordance with the procedures set forth in this </w:t>
      </w:r>
      <w:r>
        <w:rPr>
          <w:rFonts w:ascii="Times New Roman" w:hAnsi="Times New Roman"/>
          <w:sz w:val="20"/>
          <w:u w:val="single"/>
        </w:rPr>
        <w:t>Section 2.03</w:t>
      </w:r>
      <w:r>
        <w:rPr>
          <w:rFonts w:ascii="Times New Roman" w:hAnsi="Times New Roman"/>
          <w:sz w:val="20"/>
        </w:rPr>
        <w:t xml:space="preserve">. Except as otherwise provided by law, the Amended and Restated Certificate of Incorporation or these Bylaws, the chair of any meeting of stockholders of the Company shall, in addition to making any other determination that may be appropriate for the conduct of the meeting, have the power and duty to determine whether a nomination or any business proposed to be brought before the meeting was made or proposed, as the case may be, in accordance with the procedures set forth in these Bylaws and, if any proposed nomination or business is not in compliance with these Bylaws, to declare that such defective proposal or nomination shall be disregarded. The date and time of the opening and the closing of the polls for each matter upon which the stockholders of the Company will vote at a meeting shall be announced at the meeting by the chair of the meeting. After the polls close, no ballots, proxies or votes or any revocations or changes thereto shall be accepted. The Board may adopt by resolution such rules, regulations and procedures for the conduct of the meeting of stockholders of the Company as it shall deem appropriate. Except to the extent inconsistent with such rules and regulations as adopted by the Board, the chair of the meeting shall have the right and authority to convene and (for any or no reason) to recess and/or adjourn the meeting, to prescribe such rules, regulations and procedures and to do all such acts as, in the judgment of such chair, are appropriate for the proper conduct of the meeting. Such rules, regulations or procedures, whether adopted by the Board or prescribed by the chair of the meeting, may include, without limitation, the following: (a) the establishment of an agenda or order of business for the meeting; (b) rules and procedures for maintaining order at the meeting and the safety of those present; (c) limitations on attendance at or participation in the meeting to stockholders of the Company entitled to vote at the meeting, their duly authorized and constituted proxies or such other persons as the chair of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shall determine; (d) restrictions on entry to the meeting after the time fixed for the commencement thereof; (e) limitations on the time allotted to questions or comments by participants; and (f) restricting the use of cell phones, audio or video recording devices and similar devices at the meeting. Notwithstanding the foregoing provisions of this </w:t>
      </w:r>
      <w:r>
        <w:rPr>
          <w:rFonts w:ascii="Times New Roman" w:hAnsi="Times New Roman"/>
          <w:sz w:val="20"/>
          <w:u w:val="single"/>
        </w:rPr>
        <w:t>Section 2.03</w:t>
      </w:r>
      <w:r>
        <w:rPr>
          <w:rFonts w:ascii="Times New Roman" w:hAnsi="Times New Roman"/>
          <w:sz w:val="20"/>
        </w:rPr>
        <w:t xml:space="preserve">, unless otherwise required by law, if the Noticing Stockholder (or a qualified representative of the Noticing Stockholder) does not appear at the annual or special meeting of stockholders of the Company to present a nomination or business, such nomination shall be disregarded and such proposed business shall not be transacted, notwithstanding that proxies in respect of such vote may have been received by the Company. Unless and to the extent determined by the Board or the chair of the meeting, no meeting of stockholders of the Company shall be required to be held in accordance with the rules of parliamentary procedure. </w:t>
      </w:r>
    </w:p>
    <w:p>
      <w:pPr>
        <w:pStyle w:val="TextBody"/>
        <w:bidi w:val="0"/>
        <w:spacing w:before="240" w:after="0"/>
        <w:jc w:val="left"/>
        <w:rPr>
          <w:rFonts w:ascii="Times New Roman" w:hAnsi="Times New Roman"/>
          <w:sz w:val="20"/>
        </w:rPr>
      </w:pPr>
      <w:r>
        <w:rPr>
          <w:rFonts w:ascii="Times New Roman" w:hAnsi="Times New Roman"/>
          <w:sz w:val="20"/>
        </w:rPr>
        <w:t>(2) Whenever used in these Bylaws, (a) “</w:t>
      </w:r>
      <w:r>
        <w:rPr>
          <w:rFonts w:ascii="Times New Roman" w:hAnsi="Times New Roman"/>
          <w:b/>
          <w:sz w:val="20"/>
        </w:rPr>
        <w:t>Public Announcement</w:t>
      </w:r>
      <w:r>
        <w:rPr>
          <w:rFonts w:ascii="Times New Roman" w:hAnsi="Times New Roman"/>
          <w:sz w:val="20"/>
        </w:rPr>
        <w:t>” shall mean disclosure (i) in a press release issued by the Company, provided such press release is issued by the Company following its customary procedures, that is reported by the Dow Jones News Service, Associated Press or comparable national news service, or is generally available on internet news sites or (ii) in a document publicly filed by the Company with the Securities and Exchange Commission pursuant to Section 13, 14 or 15(d) of the Exchange Act and the rules and regulations promulgated thereunder; (b) the “</w:t>
      </w:r>
      <w:r>
        <w:rPr>
          <w:rFonts w:ascii="Times New Roman" w:hAnsi="Times New Roman"/>
          <w:b/>
          <w:sz w:val="20"/>
        </w:rPr>
        <w:t>Close of Business</w:t>
      </w:r>
      <w:r>
        <w:rPr>
          <w:rFonts w:ascii="Times New Roman" w:hAnsi="Times New Roman"/>
          <w:sz w:val="20"/>
        </w:rPr>
        <w:t>” means 5:00 p.m. local time at the Company’s principal executive offices, and if an applicable deadline falls on the “Close of Business” on a day that is not a Business Day, then the applicable deadline shall be deemed to be the Close of Business on the immediately preceding Business Day; and (c) “</w:t>
      </w:r>
      <w:r>
        <w:rPr>
          <w:rFonts w:ascii="Times New Roman" w:hAnsi="Times New Roman"/>
          <w:b/>
          <w:sz w:val="20"/>
        </w:rPr>
        <w:t>Business Day</w:t>
      </w:r>
      <w:r>
        <w:rPr>
          <w:rFonts w:ascii="Times New Roman" w:hAnsi="Times New Roman"/>
          <w:sz w:val="20"/>
        </w:rPr>
        <w:t>” means each Monday, Tuesday, Wednesday, Thursday and Friday which is not a day on which banking institutions in New York City are authorized or obligated by law or executive order to close. Further, “</w:t>
      </w:r>
      <w:r>
        <w:rPr>
          <w:rFonts w:ascii="Times New Roman" w:hAnsi="Times New Roman"/>
          <w:b/>
          <w:sz w:val="20"/>
        </w:rPr>
        <w:t>delivery</w:t>
      </w:r>
      <w:r>
        <w:rPr>
          <w:rFonts w:ascii="Times New Roman" w:hAnsi="Times New Roman"/>
          <w:sz w:val="20"/>
        </w:rPr>
        <w:t xml:space="preserve">” of any notice or materials by a stockholder as required under this </w:t>
      </w:r>
      <w:r>
        <w:rPr>
          <w:rFonts w:ascii="Times New Roman" w:hAnsi="Times New Roman"/>
          <w:sz w:val="20"/>
          <w:u w:val="single"/>
        </w:rPr>
        <w:t>Section 2.03</w:t>
      </w:r>
      <w:r>
        <w:rPr>
          <w:rFonts w:ascii="Times New Roman" w:hAnsi="Times New Roman"/>
          <w:sz w:val="20"/>
        </w:rPr>
        <w:t xml:space="preserve"> shall be made by both (1) hand delivery, overnight courier service, or by certified or registered mail, return receipt required, in each case, to the Secretary at the principal executive offices of the Company, and (2) electronic mail to the Secretary at the principal executive offices of the Company or such other email address for the Secretary as may be specified in the Company’s proxy statement for the annual meeting of stockholders immediately preceding such delivery of notice or materials.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the foregoing provisions of this </w:t>
      </w:r>
      <w:r>
        <w:rPr>
          <w:rFonts w:ascii="Times New Roman" w:hAnsi="Times New Roman"/>
          <w:sz w:val="20"/>
          <w:u w:val="single"/>
        </w:rPr>
        <w:t>Section 2.03</w:t>
      </w:r>
      <w:r>
        <w:rPr>
          <w:rFonts w:ascii="Times New Roman" w:hAnsi="Times New Roman"/>
          <w:sz w:val="20"/>
        </w:rPr>
        <w:t xml:space="preserve">, the Noticing Stockholder shall also comply with all applicable requirements of the Exchange Act and the rules and regulations promulgated thereunder with respect to the matters set forth in this </w:t>
      </w:r>
      <w:r>
        <w:rPr>
          <w:rFonts w:ascii="Times New Roman" w:hAnsi="Times New Roman"/>
          <w:sz w:val="20"/>
          <w:u w:val="single"/>
        </w:rPr>
        <w:t>Section 2.03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these Bylaws (including Sections 2.03(A)(1)(d) and (B) hereof), and compliance with this </w:t>
      </w:r>
      <w:r>
        <w:rPr>
          <w:rFonts w:ascii="Times New Roman" w:hAnsi="Times New Roman"/>
          <w:sz w:val="20"/>
          <w:u w:val="single"/>
        </w:rPr>
        <w:t>Section 2.03</w:t>
      </w:r>
      <w:r>
        <w:rPr>
          <w:rFonts w:ascii="Times New Roman" w:hAnsi="Times New Roman"/>
          <w:sz w:val="20"/>
        </w:rPr>
        <w:t xml:space="preserve"> shall be the exclusive means for a stockholder of the Company to make nominations or submit other business at any meeting of stockholders of the Company (other than business properly brought under and in compliance with Rule 14a-8 of the Exchange Act (or any successor provision)). Nothing in these Bylaws shall be deemed to affect any rights of stockholders to request inclusion of proposals in the Company’s proxy statement pursuant to Rule 14a-8 under the Exchange Act or the rights of the holders of any class or series of stock having a preference over the common stock of the Company as to dividends or upon liquidation to elect directors under specified circumstances (including any certificate of designation relating to any series of Preferred Stock (as defined in the Amended and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(4) Notwithstanding anything to the contrary contained in this </w:t>
      </w:r>
      <w:r>
        <w:rPr>
          <w:rFonts w:ascii="Times New Roman" w:hAnsi="Times New Roman"/>
          <w:sz w:val="20"/>
          <w:u w:val="single"/>
        </w:rPr>
        <w:t>Section 2.03</w:t>
      </w:r>
      <w:r>
        <w:rPr>
          <w:rFonts w:ascii="Times New Roman" w:hAnsi="Times New Roman"/>
          <w:sz w:val="20"/>
        </w:rPr>
        <w:t xml:space="preserve">, prior to the Trigger Event, holders of shares of Class B Common Stock shall not be subject to the notice procedures set forth in </w:t>
      </w:r>
      <w:r>
        <w:rPr>
          <w:rFonts w:ascii="Times New Roman" w:hAnsi="Times New Roman"/>
          <w:sz w:val="20"/>
          <w:u w:val="single"/>
        </w:rPr>
        <w:t>Sections 2.03(A)(2)</w:t>
      </w:r>
      <w:r>
        <w:rPr>
          <w:rFonts w:ascii="Times New Roman" w:hAnsi="Times New Roman"/>
          <w:sz w:val="20"/>
        </w:rPr>
        <w:t xml:space="preserve">, </w:t>
      </w:r>
      <w:r>
        <w:rPr>
          <w:rFonts w:ascii="Times New Roman" w:hAnsi="Times New Roman"/>
          <w:sz w:val="20"/>
          <w:u w:val="single"/>
        </w:rPr>
        <w:t>(A)(3)</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hereof with respect to any annual or special meeting of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Notice of Meetings</w:t>
      </w:r>
      <w:r>
        <w:rPr>
          <w:rFonts w:ascii="Times New Roman" w:hAnsi="Times New Roman"/>
          <w:sz w:val="20"/>
        </w:rPr>
        <w:t xml:space="preserve">. Whenever stockholders of the Company are required or permitted to take any action at a meeting, a timely notice in writing or by electronic transmission, in the manner provided in Section 232 of the DGCL, of the meeting, which shall state the place, if any, date and time of the meeting, the means of remote communication, if any, by which stockholders of the Company and proxyholders may be deemed to be present in person and vote at such meeting, the record date for determining the stockholders of the Company entitled to vote at the meeting, if such date is different from the record date for determining stockholders of the Company entitled to notice of the meeting, and, in the case of a special meeting, the purposes for which the meeting is called, shall be mailed to or transmitted electronically by the Secretary to each stockholder of record entitled to vote thereat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the record date for determining the stockholders of the Company entitled to notice of the meeting. Unless otherwise provided by law, the Amended and Restated Certificate of Incorporation or these Bylaws, the notice of any meeting shall be given not less than 10 nor more than 60 days before the date of the meeting to each stockholder of the Company entitled to vote at such meeting as of the record date for determining the stockholders of the Company entitled to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Quorum</w:t>
      </w:r>
      <w:r>
        <w:rPr>
          <w:rFonts w:ascii="Times New Roman" w:hAnsi="Times New Roman"/>
          <w:sz w:val="20"/>
        </w:rPr>
        <w:t xml:space="preserve">. Unless otherwise required by law, the Amended and Restated Certificate of Incorporation or the rules of any stock exchange upon which the Company’s securities are listed, the holders of record of a majority of the voting power of the issued and outstanding shares of the Company entitled to vote thereat, present in person or represented by proxy, shall constitute a quorum for the transaction of business at all meetings of stockholders of the Company.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the vote on that matter. Once a quorum is present at any meeting, it shall not be broken by the subsequent withdrawal of any stockholder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Voting</w:t>
      </w:r>
      <w:r>
        <w:rPr>
          <w:rFonts w:ascii="Times New Roman" w:hAnsi="Times New Roman"/>
          <w:sz w:val="20"/>
        </w:rPr>
        <w:t xml:space="preserve">. Except as otherwise provided by or pursuant to the provisions of the Amended and Restated Certificate of Incorporation, each stockholder entitled to vote at any meeting of stockholders of the Company shall be entitled to one vote for each share of Class A Common Stock and Class B Common Stock held by such stockholder that has voting power upon the matter in question. Each stockholder entitled to vote at a meeting of stockholders of the Company or to express consent to corporate action in writing without a meeting may authorize another person or persons to act for such stockholder by proxy in any manner provided by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of the Company may revoke any proxy that is not irrevocable by attending the meeting and voting in person or by delivering to the Secretary a written revocation of the proxy or a new proxy bearing a later date. Any stockholder directly or indirectly soliciting proxies from other stockholders may use any proxy card color other than white, which shall be reserved for exclusive use of the Board. Unless required by the Amended and Restated Certificate of Incorporation or applicable law, or determined by the chair of the meeting to be advisable, the vote on any question need not be by ballot. On a vote by ballot, each ballot shall be signed by the stockholder voting, or by such stockholder’s proxy, if there be such proxy. When a quorum is present or represented at any meeting, the vote of the holders of a majority of the voting power of the shares of the Company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Company, of any regulation applicable to the Company or its securities, of the Amended and Restated Certificate of Incorporation or of these Bylaws, a different vote is required, in which case such express provision shall govern and control the decision of such question. Notwithstanding anything to the contrary in these Bylaws and subject to the Amended and Restated Certificate of Incorporation, all elections of directors shall be determined by a plurality of the votes cast in respect of the shares present in person or represented by proxy at the meeting and entitled to vote on the 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Chair of Meetings</w:t>
      </w:r>
      <w:r>
        <w:rPr>
          <w:rFonts w:ascii="Times New Roman" w:hAnsi="Times New Roman"/>
          <w:sz w:val="20"/>
        </w:rPr>
        <w:t xml:space="preserve">. The Chair of the Board, if one is elected, or, in his or her absence or disability, the CEO, or in the absence of the Chair of the Board and the CEO, a person designated by the majority of the directors shall be the Chair of the meeting and, as such, shall preside at all meetings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Secretary of Meetings</w:t>
      </w:r>
      <w:r>
        <w:rPr>
          <w:rFonts w:ascii="Times New Roman" w:hAnsi="Times New Roman"/>
          <w:sz w:val="20"/>
        </w:rPr>
        <w:t xml:space="preserve">. The Secretary shall act as secretary at all meetings of the stockholders of the Company. In the absence or disability of the Secretary, the Chair of the meeting shall appoint a person to act as secretary at such meetings.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Consent of Stockholders in Lieu of Meeting</w:t>
      </w:r>
      <w:r>
        <w:rPr>
          <w:rFonts w:ascii="Times New Roman" w:hAnsi="Times New Roman"/>
          <w:sz w:val="20"/>
        </w:rPr>
        <w:t xml:space="preserve">. Any action required or permitted to be taken at any meeting of stockholders of the Company may be taken without a meeting, without prior notice and without a vote only in the manner provided in </w:t>
      </w:r>
      <w:r>
        <w:rPr>
          <w:rFonts w:ascii="Times New Roman" w:hAnsi="Times New Roman"/>
          <w:sz w:val="20"/>
          <w:u w:val="single"/>
        </w:rPr>
        <w:t>Article VIII</w:t>
      </w:r>
      <w:r>
        <w:rPr>
          <w:rFonts w:ascii="Times New Roman" w:hAnsi="Times New Roman"/>
          <w:sz w:val="20"/>
        </w:rPr>
        <w:t xml:space="preserve"> of the Amended and Restated Certificate of Incorporation and in accordance with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Adjournment</w:t>
      </w:r>
      <w:r>
        <w:rPr>
          <w:rFonts w:ascii="Times New Roman" w:hAnsi="Times New Roman"/>
          <w:sz w:val="20"/>
        </w:rPr>
        <w:t xml:space="preserve">. The Chair of any meeting of stockholders of the Company shall have the power to adjourn the meeting from time to time, whether or not a quorum is present. At any meeting of stockholders of the Company, if less than a quorum be present, the Chair of the meeting or stockholders of the Company holding a majority in voting power of the shares of stock of the Company, present in person or by proxy and entitled to vote thereat,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30 days, a notice of the adjourned meeting shall be given to each stockholder of record entitled to vote at the meeting. If after the adjournment a new record date for determination of stockholders of the Company entitled to vote is fixed for the adjourned meeting, the Board shall fix as the record date for determining stockholders of the Company entitled to notice of such adjourned meeting the same or an earlier date as that fixed for determination of stockholders of the Company entitled to vote at the adjourned meeting, and shall give notice of the adjourned meeting to each stockholder of record entitled to vote at such adjourned meeting as of the record date so fixed for notice of such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Remote Communication</w:t>
      </w:r>
      <w:r>
        <w:rPr>
          <w:rFonts w:ascii="Times New Roman" w:hAnsi="Times New Roman"/>
          <w:sz w:val="20"/>
        </w:rPr>
        <w:t xml:space="preserve">. If authorized by the Board in its sole discretion, and subject to such rules, regulations and procedures as the Board may adopt, stockholders of the Company and proxyholders not physically present at a meeting of stockholders of the Company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(A) participate in a meeting of stockholders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(B) be deemed present in person and vote at a meeting of stockholders of the Company whether such meeting is to be held at a designated place or solely by means of remote communication;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w:t>
      </w:r>
    </w:p>
    <w:p>
      <w:pPr>
        <w:pStyle w:val="TextBody"/>
        <w:bidi w:val="0"/>
        <w:spacing w:before="120" w:after="0"/>
        <w:jc w:val="left"/>
        <w:rPr>
          <w:rFonts w:ascii="Times New Roman" w:hAnsi="Times New Roman"/>
          <w:sz w:val="20"/>
        </w:rPr>
      </w:pPr>
      <w:r>
        <w:rPr>
          <w:rFonts w:ascii="Times New Roman" w:hAnsi="Times New Roman"/>
          <w:sz w:val="20"/>
        </w:rPr>
        <w:t xml:space="preserve">(1) the Company shall implement reasonable measures to verify that each person deemed present and permitted to vote at the meeting by means of remote communication is a stockholder of the Company or proxyholder; </w:t>
      </w:r>
    </w:p>
    <w:p>
      <w:pPr>
        <w:pStyle w:val="TextBody"/>
        <w:bidi w:val="0"/>
        <w:spacing w:before="240" w:after="0"/>
        <w:jc w:val="left"/>
        <w:rPr>
          <w:rFonts w:ascii="Times New Roman" w:hAnsi="Times New Roman"/>
          <w:sz w:val="20"/>
        </w:rPr>
      </w:pPr>
      <w:r>
        <w:rPr>
          <w:rFonts w:ascii="Times New Roman" w:hAnsi="Times New Roman"/>
          <w:sz w:val="20"/>
        </w:rPr>
        <w:t xml:space="preserve">(2) the Company shall implement reasonable measures to provide such stockholders of the Company and proxyholders a reasonable opportunity to participate in the meeting and to vote on matters submitted to the stockholders of the Company, including an opportunity to read or hear the proceedings of the meeting substantially concurrently with such proceedings; and </w:t>
      </w:r>
    </w:p>
    <w:p>
      <w:pPr>
        <w:pStyle w:val="TextBody"/>
        <w:bidi w:val="0"/>
        <w:spacing w:before="240" w:after="0"/>
        <w:jc w:val="left"/>
        <w:rPr>
          <w:rFonts w:ascii="Times New Roman" w:hAnsi="Times New Roman"/>
          <w:sz w:val="20"/>
        </w:rPr>
      </w:pPr>
      <w:r>
        <w:rPr>
          <w:rFonts w:ascii="Times New Roman" w:hAnsi="Times New Roman"/>
          <w:sz w:val="20"/>
        </w:rPr>
        <w:t xml:space="preserve">(3) if any stockholder of the Company or proxyholder votes or takes other action at the meeting by means of remote communication, a record of such vote or other action shall be maintained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Inspectors of Election</w:t>
      </w:r>
      <w:r>
        <w:rPr>
          <w:rFonts w:ascii="Times New Roman" w:hAnsi="Times New Roman"/>
          <w:sz w:val="20"/>
        </w:rPr>
        <w:t xml:space="preserve">. The Company may, and shall if required by law, in advance of any meeting of stockholders of the Company, appoint one or more inspectors of election, who may be employees of the Company, to act at the meeting or any adjournment thereof and to make a written report thereof. The Company may designate one or more persons as alternate inspectors to replace any inspector who fails to act. In the event that no inspector so appointed or designated is able to act at a meeting of stockholders of the Company, the Chair of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(a) ascertain the number of shares of the Company outstanding and the voting power of each such share, (b) determine the shares of the Company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the Company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Company, the inspectors may consider such information as is permitted by applicable law. No person who is a candidate for an office at an election may serve as an inspector at such election.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Powers</w:t>
      </w:r>
      <w:r>
        <w:rPr>
          <w:rFonts w:ascii="Times New Roman" w:hAnsi="Times New Roman"/>
          <w:sz w:val="20"/>
        </w:rPr>
        <w:t xml:space="preserve">. Except as otherwise provided in the Amended and Restated Certificate of Incorporation, the DGCL or the Stockholders Agreement, the business and affairs of the Company shall be managed by or under the direction of the Board. The Board may exercise all such authority and powers of the Company and do all such lawful acts and things as are not, by the DGCL or the Amended and Restated Certificate of Incorporation, directed or required to be exercised or done by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Number and Term; Chair</w:t>
      </w:r>
      <w:r>
        <w:rPr>
          <w:rFonts w:ascii="Times New Roman" w:hAnsi="Times New Roman"/>
          <w:sz w:val="20"/>
        </w:rPr>
        <w:t xml:space="preserve">. Subject to the Amended and Restated Certificate of Incorporation, the number of directors shall be fixed exclusively by resolution of the Board. The term of each director elected to the Board shall be as set forth in the Amended and Restated Certificate of Incorporation. Directors need not be stockholders of the Company. The Board shall elect a Chair of the Board, who shall have the powers and perform such duties as provided in these Bylaws and as the Board may from time to time prescribe. The Chair of the Board shall preside at all meetings of the Board at which he or she is present. If the Chair of the Board is not present at a meeting of the Board, the CEO (if the CEO is a director and is not also the Chair of the Board) shall preside at such meeting, and, if the CEO is not present at such meeting or is not a director, a majority of the directors present at such meeting shall elect one of their members to preside.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Resignations</w:t>
      </w:r>
      <w:r>
        <w:rPr>
          <w:rFonts w:ascii="Times New Roman" w:hAnsi="Times New Roman"/>
          <w:sz w:val="20"/>
        </w:rPr>
        <w:t xml:space="preserve">. Any director may resign at any time upon notice given in writing or by electronic transmission to the Board, the Chair of the Board, the CEO or the Secretary. The resignation shall take effect at the time specified therein, and if no time is specified, at the time of its receipt. The acceptance of a resignation shall not be necessary to make it effective unless otherwise expressly provided in the resignation.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Removal</w:t>
      </w:r>
      <w:r>
        <w:rPr>
          <w:rFonts w:ascii="Times New Roman" w:hAnsi="Times New Roman"/>
          <w:sz w:val="20"/>
        </w:rPr>
        <w:t xml:space="preserve">. Subject to the rights of the holders of any series of Preferred Stock (as defined in the Amended and Restated Certificate of Incorporation) and any rights granted pursuant to the Stockholders Agreement, any director or the entire Board may be removed from office at any time, but only in the manner provided in </w:t>
      </w:r>
      <w:r>
        <w:rPr>
          <w:rFonts w:ascii="Times New Roman" w:hAnsi="Times New Roman"/>
          <w:sz w:val="20"/>
          <w:u w:val="single"/>
        </w:rPr>
        <w:t>Article VI(c)</w:t>
      </w:r>
      <w:r>
        <w:rPr>
          <w:rFonts w:ascii="Times New Roman" w:hAnsi="Times New Roman"/>
          <w:sz w:val="20"/>
        </w:rPr>
        <w:t xml:space="preserve"> of the Amended and Restated Certificate of Incorporation and applicable law. Any vacancy on the Board created by the removal of a director and not filled in connection with such removal shall be filled in accordance with </w:t>
      </w:r>
      <w:r>
        <w:rPr>
          <w:rFonts w:ascii="Times New Roman" w:hAnsi="Times New Roman"/>
          <w:sz w:val="20"/>
          <w:u w:val="single"/>
        </w:rPr>
        <w:t>Section 3.05</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Vacancies and Newly-Created Directorships</w:t>
      </w:r>
      <w:r>
        <w:rPr>
          <w:rFonts w:ascii="Times New Roman" w:hAnsi="Times New Roman"/>
          <w:sz w:val="20"/>
        </w:rPr>
        <w:t xml:space="preserve">. Except as otherwise provided by applicable law and subject to the rights of the holders of any series of Preferred Stock (as defined in the Amended and Restated Certificate of Incorporation) and any rights granted pursuant to the Stockholders Agreement, vacancies occurring in any directorship (whether by death, resignation, retirement, disqualification, removal or other cause) and newly-created directorships resulting from any increase in the number of directors shall be filled in accordance with the Amended and Restated Certificate of Incorporation. Any director elected to fill a vacancy or newly-created directorship shall hold office until the next election of the class for which such director shall have been chosen and until his or her successor shall be elected and qualified, or until his or her earlier death, resignation, retirement, disqualification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Meetings</w:t>
      </w:r>
      <w:r>
        <w:rPr>
          <w:rFonts w:ascii="Times New Roman" w:hAnsi="Times New Roman"/>
          <w:sz w:val="20"/>
        </w:rPr>
        <w:t xml:space="preserve">. Regular meetings of the Board may be held at such places and times as shall be determined from time to time by the Board, either within or without the State of Delaware. Special meetings of the Board may be called by the CEO of the Company or the Chair of the Board or as provided by the Amended and Restated Certificate of Incorporation, and shall be called by the CEO or the Secretary if directed by the Board and shall be at such places and times as they or he or she shall fix. Notice need not be given of regular meetings of the Board. At least 24 hours before each special meeting of the Board, written notice, notice by electronic transmission or oral notice (either in person or by telephone) of the time, date and place of the meeting shall be given to each director. Any director may waive notice of any meeting before or after the meeting. The attendance of a director at any meeting shall constitute a waiver of notice of such meeting, except where the director attends the meeting for the express purpose of objecting, and does so object, at the beginning of the meeting to the transaction of any business because the meeting is not lawfully called or convened. Unless otherwise indicated in the notice thereof, any and all business may be transacted at a special meeting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3.07 </w:t>
      </w:r>
      <w:r>
        <w:rPr>
          <w:rFonts w:ascii="Times New Roman" w:hAnsi="Times New Roman"/>
          <w:sz w:val="20"/>
          <w:u w:val="single"/>
        </w:rPr>
        <w:t>Quorum, Voting and Adjournment</w:t>
      </w:r>
      <w:r>
        <w:rPr>
          <w:rFonts w:ascii="Times New Roman" w:hAnsi="Times New Roman"/>
          <w:sz w:val="20"/>
        </w:rPr>
        <w:t xml:space="preserve">. Except as otherwise provided by law, the Amended and Restated Certificate of Incorporation or these Bylaws, a majority of the total number of directors shall constitute a quorum for the transaction of business at a meeting of the Board; provided, however, that a quorum shall never be less than one-third the total number of directors. Except as otherwise provided by law, the Amended and Restated Certificate of Incorporation or these Bylaws, the act of a majority of the directors present at a meeting of the Board at which a quorum is present shall be the act of the Board. In the absence of a quorum, a majority of the directors present thereat may adjourn such meeting to another time and place. Notice of such adjourned meeting need not be given if the time and place of such adjourned meeting are announced at the meeting so adjourned. </w:t>
      </w:r>
    </w:p>
    <w:p>
      <w:pPr>
        <w:pStyle w:val="TextBody"/>
        <w:bidi w:val="0"/>
        <w:spacing w:before="240" w:after="0"/>
        <w:jc w:val="left"/>
        <w:rPr>
          <w:rFonts w:ascii="Times New Roman" w:hAnsi="Times New Roman"/>
          <w:sz w:val="20"/>
        </w:rPr>
      </w:pPr>
      <w:r>
        <w:rPr>
          <w:rFonts w:ascii="Times New Roman" w:hAnsi="Times New Roman"/>
          <w:sz w:val="20"/>
        </w:rPr>
        <w:t xml:space="preserve">Section 3.08 </w:t>
      </w:r>
      <w:r>
        <w:rPr>
          <w:rFonts w:ascii="Times New Roman" w:hAnsi="Times New Roman"/>
          <w:sz w:val="20"/>
          <w:u w:val="single"/>
        </w:rPr>
        <w:t>Committees; Committee Rules</w:t>
      </w:r>
      <w:r>
        <w:rPr>
          <w:rFonts w:ascii="Times New Roman" w:hAnsi="Times New Roman"/>
          <w:sz w:val="20"/>
        </w:rPr>
        <w:t xml:space="preserve">. The Board may, by resolution passed by a majority of the directors, designate one or more committees, each such committee to consist of one or more of the directors of the Company. The meetings of any such committee shall be held in compliance with these Bylaws. The Board may designate one or more directors as alternate members of any committee to replace any absent or disqualified member at any meeting of the committee. Any director designated to serve on any committee shall continue to serve on that committee until their resignation or until otherwise determined by the Board. Any such committee, to the extent provided in the resolution of the Board establishing such committee, shall have and may exercise all the powers and authority of the Board in the management of the business and affairs of the Company, and may authorize the seal of the Company to be affixed to all papers that may require it. Notwithstanding the foregoing, no committee shall have the power or authority of the Board in reference to the following matters: (a) approving or adopting, or recommending to the stockholders of the Company, any action or matter (other than the election or removal of directors) expressly required by the DGCL to be submitted to stockholders of the Company for approval or (b) adopting, amending or repealing any Bylaw of the Company. All committees of the Board shall keep minutes of their meetings and shall report their proceedings to the Board when requested or required by the Board. Each committee of the Board may fix its own rules of procedure and shall hold its meetings as provided by such rules, except as may otherwise be provided by a resolution of the Board designating such committee. Unless otherwise provided in such a resolution, (i) the presence of at least a majority of the members of the committee shall be necessary to constitute a quorum for the transaction of business at a meeting of the committee unless the committee shall consist of one or two members, in which event one member shall constitute a quorum and (ii) all matters shall be determined by a majority vote of the members present at a meeting of the committee at which a quorum is present. In the absence of a quorum, a majority of the directors present may adjourn the meeting of the committee to another time and place. Notice of such adjourned meeting need not be given if the time and place of such adjourned meeting are announced at the meeting so adjourned. Unless otherwise provided in such a resolution,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 to the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3.09 </w:t>
      </w:r>
      <w:r>
        <w:rPr>
          <w:rFonts w:ascii="Times New Roman" w:hAnsi="Times New Roman"/>
          <w:sz w:val="20"/>
          <w:u w:val="single"/>
        </w:rPr>
        <w:t>Action Without a Meeting</w:t>
      </w:r>
      <w:r>
        <w:rPr>
          <w:rFonts w:ascii="Times New Roman" w:hAnsi="Times New Roman"/>
          <w:sz w:val="20"/>
        </w:rPr>
        <w:t xml:space="preserve">. Unless otherwise restricted by the Amended and Restated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and the writing or writings or electronic transmission or transmissions are filed in the minutes of proceedings of the Board or committee. Such filing shall be in paper form if the minutes are maintained in paper form or shall be in electronic form if the minutes are maintained in electronic form. </w:t>
      </w:r>
    </w:p>
    <w:p>
      <w:pPr>
        <w:pStyle w:val="TextBody"/>
        <w:bidi w:val="0"/>
        <w:spacing w:before="240" w:after="0"/>
        <w:jc w:val="left"/>
        <w:rPr>
          <w:rFonts w:ascii="Times New Roman" w:hAnsi="Times New Roman"/>
          <w:sz w:val="20"/>
        </w:rPr>
      </w:pPr>
      <w:r>
        <w:rPr>
          <w:rFonts w:ascii="Times New Roman" w:hAnsi="Times New Roman"/>
          <w:sz w:val="20"/>
        </w:rPr>
        <w:t xml:space="preserve">Section 3.10 </w:t>
      </w:r>
      <w:r>
        <w:rPr>
          <w:rFonts w:ascii="Times New Roman" w:hAnsi="Times New Roman"/>
          <w:sz w:val="20"/>
          <w:u w:val="single"/>
        </w:rPr>
        <w:t>Remote Meeting</w:t>
      </w:r>
      <w:r>
        <w:rPr>
          <w:rFonts w:ascii="Times New Roman" w:hAnsi="Times New Roman"/>
          <w:sz w:val="20"/>
        </w:rPr>
        <w:t xml:space="preserve">. Unless otherwise restricted by the Amended and Restated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3.11 </w:t>
      </w:r>
      <w:r>
        <w:rPr>
          <w:rFonts w:ascii="Times New Roman" w:hAnsi="Times New Roman"/>
          <w:sz w:val="20"/>
          <w:u w:val="single"/>
        </w:rPr>
        <w:t>Compensation</w:t>
      </w:r>
      <w:r>
        <w:rPr>
          <w:rFonts w:ascii="Times New Roman" w:hAnsi="Times New Roman"/>
          <w:sz w:val="20"/>
        </w:rPr>
        <w:t xml:space="preserve">. The Board shall have the authority to fix the compensation, including fees and reimbursement of expenses, of directors for services to the Company in any capacity.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3.12 </w:t>
      </w:r>
      <w:r>
        <w:rPr>
          <w:rFonts w:ascii="Times New Roman" w:hAnsi="Times New Roman"/>
          <w:sz w:val="20"/>
          <w:u w:val="single"/>
        </w:rPr>
        <w:t>Reliance on Books and Records</w:t>
      </w:r>
      <w:r>
        <w:rPr>
          <w:rFonts w:ascii="Times New Roman" w:hAnsi="Times New Roman"/>
          <w:sz w:val="20"/>
        </w:rPr>
        <w:t xml:space="preserve">. A member of the Board, or a member of any committee designated by the Board shall, in the performance of such person’s duties, be fully protected in relying in good faith upon records of the Company and upon such information, opinions, reports or statements presented to the Company by any of the Company’s officers or employees, or committees of the Board, or by any other person as to matters the member reasonably believes are within such other person’s professional or expert competence and who has been selected with reasonable care by or on behalf of the Company or the Board. </w:t>
      </w:r>
    </w:p>
    <w:p>
      <w:pPr>
        <w:pStyle w:val="TextBody"/>
        <w:bidi w:val="0"/>
        <w:spacing w:before="480" w:after="0"/>
        <w:jc w:val="center"/>
        <w:rPr>
          <w:rFonts w:ascii="Times New Roman" w:hAnsi="Times New Roman"/>
          <w:sz w:val="20"/>
        </w:rPr>
      </w:pPr>
      <w:r>
        <w:rPr>
          <w:rFonts w:ascii="Times New Roman" w:hAnsi="Times New Roman"/>
          <w:sz w:val="20"/>
        </w:rPr>
        <w:t xml:space="preserve">ARTICLE IV </w:t>
      </w:r>
    </w:p>
    <w:p>
      <w:pPr>
        <w:pStyle w:val="TextBody"/>
        <w:bidi w:val="0"/>
        <w:spacing w:before="0" w:after="0"/>
        <w:jc w:val="center"/>
        <w:rPr>
          <w:rFonts w:ascii="Times New Roman" w:hAnsi="Times New Roman"/>
          <w:sz w:val="20"/>
        </w:rPr>
      </w:pPr>
      <w:r>
        <w:rPr>
          <w:rFonts w:ascii="Times New Roman" w:hAnsi="Times New Roman"/>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Number</w:t>
      </w:r>
      <w:r>
        <w:rPr>
          <w:rFonts w:ascii="Times New Roman" w:hAnsi="Times New Roman"/>
          <w:sz w:val="20"/>
        </w:rPr>
        <w:t xml:space="preserve">. The officers of the Company shall include a CEO, a President, a Secretary and any officers required by the DGCL, each of whom shall be elected by the Board and who shall hold office for such terms as shall be determined by the Board and until their successors are elected and qualified or until their earlier death, resignation or removal. In addition, the Board may elect one or more Vice Presidents, including one or more Executive Vice Presidents, Senior Vice Presidents, a Treasurer, one or more Assistant Treasurers, one or more Assistant Secretaries and any other additional officers as the Board deems necessary or advisable, who shall hold their office for such terms and shall exercise such powers and perform such duties as shall be determined from time to time by the Board. Any number of offices may be held by the same person.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Other Officers and Agents</w:t>
      </w:r>
      <w:r>
        <w:rPr>
          <w:rFonts w:ascii="Times New Roman" w:hAnsi="Times New Roman"/>
          <w:sz w:val="20"/>
        </w:rPr>
        <w:t xml:space="preserve">. The Board may appoint such other officers and agents as it deems advisable, who shall hold their office for such terms and shall exercise and perform such powers and duties as shall be determined from time to time by the Board. The Board may appoint one or more officers called a Vice Chair, each of whom does not need to be a member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Chief Executive Officer</w:t>
      </w:r>
      <w:r>
        <w:rPr>
          <w:rFonts w:ascii="Times New Roman" w:hAnsi="Times New Roman"/>
          <w:sz w:val="20"/>
        </w:rPr>
        <w:t xml:space="preserve">. The CEO, who may also be the President, subject to the determination of the Board, shall have general executive charge, management, and control of the properties and operations of the Company in the ordinary course of its business, with all such powers with respect to such properties and operations as may be reasonably incident to such responsibilities. If the Board has not elected a Chair of the Board or in the absence or inability to act as the Chair of the Board, the CEO shall exercise all of the powers and discharge all of the duties of the Chair of the Board, but only if the CEO is a director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President</w:t>
      </w:r>
      <w:r>
        <w:rPr>
          <w:rFonts w:ascii="Times New Roman" w:hAnsi="Times New Roman"/>
          <w:sz w:val="20"/>
        </w:rPr>
        <w:t xml:space="preserve">. The President of the Company shall, subject to the powers of the Board, the Chair of the Board and the CEO, have general charge of the business, affairs and property of the Company, and control over its officers, agents and employees. The President shall see that all orders and resolutions of the Board are carried into effect. The President is authorized to execute bonds, mortgages and other contracts requiring a seal, under the seal of the Company, except where required or permitted by law to be otherwise signed and executed and except where the signing and execution thereof shall be expressly delegated by the Board to some other officer or agent of the Company. The President shall have such other powers and perform such other duties as may be prescribed by the Chair of the Board, the CEO, the Board or as may be provided in these Bylaws. Unless otherwise determined by the Board, the CEO shall be the President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Vice Presidents</w:t>
      </w:r>
      <w:r>
        <w:rPr>
          <w:rFonts w:ascii="Times New Roman" w:hAnsi="Times New Roman"/>
          <w:sz w:val="20"/>
        </w:rPr>
        <w:t xml:space="preserve">. Each Vice President, if any are appointed, of whom one or more may be designated an Executive Vice President or Senior Vice President, shall have such powers and shall perform such duties as shall be assigned to him or her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4.06 </w:t>
      </w:r>
      <w:r>
        <w:rPr>
          <w:rFonts w:ascii="Times New Roman" w:hAnsi="Times New Roman"/>
          <w:sz w:val="20"/>
          <w:u w:val="single"/>
        </w:rPr>
        <w:t>Treasurer</w:t>
      </w:r>
      <w:r>
        <w:rPr>
          <w:rFonts w:ascii="Times New Roman" w:hAnsi="Times New Roman"/>
          <w:sz w:val="20"/>
        </w:rPr>
        <w:t xml:space="preserve">. The Treasurer shall have custody of the corporate funds, securities, evidences of indebtedness and other valuables of the Company and shall keep full and accurate accounts of receipts and disbursements in books belonging to the Company. The Treasurer shall deposit all moneys and other valuables in the name and to the credit of the Company in such depositories as may be designated by the Board or its designees selected for such purposes. The Treasurer shall disburse the funds of the Company, taking proper vouchers therefor. The Treasurer shall render to the CEO and the Board, upon their request, a report of the financial condition of the Company. If required by the Board, the Treasurer shall give the Company a bond for the faithful discharge of his or her duties in such amount and with such surety as the Board shall prescribe.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Treasurer shall have such further powers and perform such other duties incident to the office of Treasurer as from time to time are assigned to him or her by the CEO or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4.07 </w:t>
      </w:r>
      <w:r>
        <w:rPr>
          <w:rFonts w:ascii="Times New Roman" w:hAnsi="Times New Roman"/>
          <w:sz w:val="20"/>
          <w:u w:val="single"/>
        </w:rPr>
        <w:t>Secretary</w:t>
      </w:r>
      <w:r>
        <w:rPr>
          <w:rFonts w:ascii="Times New Roman" w:hAnsi="Times New Roman"/>
          <w:sz w:val="20"/>
        </w:rPr>
        <w:t xml:space="preserve">. The Secretary shall: (a) cause minutes of all meetings of the stockholders of the Company and directors to be recorded and kept properly; (b) cause all notices required by these Bylaws or otherwise to be given properly; (c) see that the minute books, stock books and other nonfinancial books, records and papers of the Company are kept properly; and (d) cause all reports, statements, returns, certificates and other documents to be prepared and filed when and as required. The Secretary shall have such further powers and perform such other duties as prescribed from time to time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4.08 </w:t>
      </w:r>
      <w:r>
        <w:rPr>
          <w:rFonts w:ascii="Times New Roman" w:hAnsi="Times New Roman"/>
          <w:sz w:val="20"/>
          <w:u w:val="single"/>
        </w:rPr>
        <w:t>Assistant Treasurers and Assistant Secretaries</w:t>
      </w:r>
      <w:r>
        <w:rPr>
          <w:rFonts w:ascii="Times New Roman" w:hAnsi="Times New Roman"/>
          <w:sz w:val="20"/>
        </w:rPr>
        <w:t xml:space="preserve">. Each Assistant Treasurer and each Assistant Secretary, if any are appointed, shall be vested with all the powers and shall perform all the duties of the Treasurer and Secretary, respectively, in the absence or disability of such officer, unless or until the CEO or the Board shall otherwise determine. In addition, Assistant Treasurers and Assistant Secretaries shall have such powers and shall perform such duties as shall be assigned to them by the CEO or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4.09 </w:t>
      </w:r>
      <w:r>
        <w:rPr>
          <w:rFonts w:ascii="Times New Roman" w:hAnsi="Times New Roman"/>
          <w:sz w:val="20"/>
          <w:u w:val="single"/>
        </w:rPr>
        <w:t>Corporate Funds and Checks</w:t>
      </w:r>
      <w:r>
        <w:rPr>
          <w:rFonts w:ascii="Times New Roman" w:hAnsi="Times New Roman"/>
          <w:sz w:val="20"/>
        </w:rPr>
        <w:t xml:space="preserve">. The funds of the Company shall be kept in such depositories as shall from time to time be prescribed by the Board or its designees selected for such purposes. All checks or other orders for the payment of money shall be signed by the CEO, a Vice President, the Treasurer or the Secretary or such other person or agent as may from time to time be authorized and with such countersignature, if any, as may be required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4.10 </w:t>
      </w:r>
      <w:r>
        <w:rPr>
          <w:rFonts w:ascii="Times New Roman" w:hAnsi="Times New Roman"/>
          <w:sz w:val="20"/>
          <w:u w:val="single"/>
        </w:rPr>
        <w:t>Contracts and Other Documents</w:t>
      </w:r>
      <w:r>
        <w:rPr>
          <w:rFonts w:ascii="Times New Roman" w:hAnsi="Times New Roman"/>
          <w:sz w:val="20"/>
        </w:rPr>
        <w:t xml:space="preserve">. The CEO and the Secretary, or such other officer or officers as may from time to time be authorized by the Board or any other committee given specific authority in the premises by the Board during the intervals between the meetings of the Board, shall have power to sign and execute on behalf of the Company deeds, conveyances and contracts and any and all other documents requiring execution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4.11 </w:t>
      </w:r>
      <w:r>
        <w:rPr>
          <w:rFonts w:ascii="Times New Roman" w:hAnsi="Times New Roman"/>
          <w:sz w:val="20"/>
          <w:u w:val="single"/>
        </w:rPr>
        <w:t>Ownership of Stock of Another Corporation</w:t>
      </w:r>
      <w:r>
        <w:rPr>
          <w:rFonts w:ascii="Times New Roman" w:hAnsi="Times New Roman"/>
          <w:sz w:val="20"/>
        </w:rPr>
        <w:t xml:space="preserve">. Unless otherwise directed by the Board, the CEO, a Vice President, the Treasurer or the Secretary, or such other officer or agent as shall be authorized by the Board, shall have the power and authority, on behalf of the Company, to attend and to vote at any meeting of securityholders of any entity in which the Company holds securities or equity interests and may exercise, on behalf of the Company, any and all of the rights and powers incident to the ownership of such securities or equity interests at any such meeting, including the authority to execute and deliver proxies and consents on behalf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4.12 </w:t>
      </w:r>
      <w:r>
        <w:rPr>
          <w:rFonts w:ascii="Times New Roman" w:hAnsi="Times New Roman"/>
          <w:sz w:val="20"/>
          <w:u w:val="single"/>
        </w:rPr>
        <w:t>Delegation of Duties</w:t>
      </w:r>
      <w:r>
        <w:rPr>
          <w:rFonts w:ascii="Times New Roman" w:hAnsi="Times New Roman"/>
          <w:sz w:val="20"/>
        </w:rPr>
        <w:t xml:space="preserve">. In the absence, disability or refusal of any officer to exercise and perform his or her duties, the Board may delegate to another officer such powers or duties. </w:t>
      </w:r>
    </w:p>
    <w:p>
      <w:pPr>
        <w:pStyle w:val="TextBody"/>
        <w:bidi w:val="0"/>
        <w:spacing w:before="240" w:after="0"/>
        <w:jc w:val="left"/>
        <w:rPr>
          <w:rFonts w:ascii="Times New Roman" w:hAnsi="Times New Roman"/>
          <w:sz w:val="20"/>
        </w:rPr>
      </w:pPr>
      <w:r>
        <w:rPr>
          <w:rFonts w:ascii="Times New Roman" w:hAnsi="Times New Roman"/>
          <w:sz w:val="20"/>
        </w:rPr>
        <w:t xml:space="preserve">Section 4.13 </w:t>
      </w:r>
      <w:r>
        <w:rPr>
          <w:rFonts w:ascii="Times New Roman" w:hAnsi="Times New Roman"/>
          <w:sz w:val="20"/>
          <w:u w:val="single"/>
        </w:rPr>
        <w:t>Resignation and Removal</w:t>
      </w:r>
      <w:r>
        <w:rPr>
          <w:rFonts w:ascii="Times New Roman" w:hAnsi="Times New Roman"/>
          <w:sz w:val="20"/>
        </w:rPr>
        <w:t xml:space="preserve">. Any officer of the Company may be removed from office for or without cause at any time by the Board. Any officer may resign at any time in the same manner prescribed under </w:t>
      </w:r>
      <w:r>
        <w:rPr>
          <w:rFonts w:ascii="Times New Roman" w:hAnsi="Times New Roman"/>
          <w:sz w:val="20"/>
          <w:u w:val="single"/>
        </w:rPr>
        <w:t>Section 3.03</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sz w:val="20"/>
        </w:rPr>
        <w:t xml:space="preserve">Section 4.14 </w:t>
      </w:r>
      <w:r>
        <w:rPr>
          <w:rFonts w:ascii="Times New Roman" w:hAnsi="Times New Roman"/>
          <w:sz w:val="20"/>
          <w:u w:val="single"/>
        </w:rPr>
        <w:t>Vacancies</w:t>
      </w:r>
      <w:r>
        <w:rPr>
          <w:rFonts w:ascii="Times New Roman" w:hAnsi="Times New Roman"/>
          <w:sz w:val="20"/>
        </w:rPr>
        <w:t xml:space="preserve">. The Board shall have the power to fill vacancies occurring in any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4.15 </w:t>
      </w:r>
      <w:r>
        <w:rPr>
          <w:rFonts w:ascii="Times New Roman" w:hAnsi="Times New Roman"/>
          <w:sz w:val="20"/>
          <w:u w:val="single"/>
        </w:rPr>
        <w:t>Compensation</w:t>
      </w:r>
      <w:r>
        <w:rPr>
          <w:rFonts w:ascii="Times New Roman" w:hAnsi="Times New Roman"/>
          <w:sz w:val="20"/>
        </w:rPr>
        <w:t xml:space="preserve">. Compensation of all executive officers (as defined in Rule 3b-7 under the Exchange Act) shall be approved by the Board, and no such officer shall be prevented from receiving such compensation by virtue of his or her also being a director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V </w:t>
      </w:r>
    </w:p>
    <w:p>
      <w:pPr>
        <w:pStyle w:val="TextBody"/>
        <w:bidi w:val="0"/>
        <w:spacing w:before="0" w:after="0"/>
        <w:jc w:val="center"/>
        <w:rPr>
          <w:rFonts w:ascii="Times New Roman" w:hAnsi="Times New Roman"/>
          <w:sz w:val="20"/>
        </w:rPr>
      </w:pPr>
      <w:r>
        <w:rPr>
          <w:rFonts w:ascii="Times New Roman" w:hAnsi="Times New Roman"/>
          <w:sz w:val="20"/>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Shares With Certificates</w:t>
      </w:r>
      <w:r>
        <w:rPr>
          <w:rFonts w:ascii="Times New Roman" w:hAnsi="Times New Roman"/>
          <w:sz w:val="20"/>
        </w:rPr>
        <w:t xml:space="preserve">. The shares of stock of the Company shall be represented by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may provide by resolution or resolutions that some or all of any or all classes or series of the Company’s stock shall be uncertificated shares. Any such resolution shall not apply to shares represented by a certificate until such certificate is surrendered to the Company. Every holder of stock in the Company represented by certificates shall be entitled to have a certificate signed by, or in the name of the Company by, (a) the Chair of the Board or the Vice Chair of the Board or the President or a Vice President and (b) the Treasurer or an Assistant Treasurer or the Secretary or an Assistant Secretary, certifying the number and class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shares of the Company owned by such holder. Any or all of the signatures on the certificate may be a facsimile.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Shares Without Certificates</w:t>
      </w:r>
      <w:r>
        <w:rPr>
          <w:rFonts w:ascii="Times New Roman" w:hAnsi="Times New Roman"/>
          <w:sz w:val="20"/>
        </w:rPr>
        <w:t xml:space="preserve">. If the Board chooses to issue shares of stock without certificates, the Company, if required by the DGCL, shall, within a reasonable time after the issuance or transfer of shares without certificates, send the stockholder of the Company a written statement of the information required by the DGCL. The Company may adopt a system of issuance, recordation and transfer of its shares of stock by electronic or other means not involving the issuance of certificates;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use of such system by the Company is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Transfer of Shares</w:t>
      </w:r>
      <w:r>
        <w:rPr>
          <w:rFonts w:ascii="Times New Roman" w:hAnsi="Times New Roman"/>
          <w:sz w:val="20"/>
        </w:rPr>
        <w:t xml:space="preserve">. Shares of stock of the Company shall be transferable upon its books by the holders thereof, in person or by their duly authorized attorneys or legal representatives, in the manner prescribed by law, the Amended and Restated Certificate of Incorporation and in these Bylaws, upon surrender to the Company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stock of the Company that are not represented by a certificate shall be transferred in accordance with any procedures adopted by the Company or its agents and applicable law. A record shall be made of each transfer. Whenever any transfer of shares shall be made for collateral security, and not absolutely, it shall be so expressed in the entry of the transfer if, when the certificates are presented, both the transferor and transferee request the Company to do so. The Board shall have power and authority to make such rules and regulations as it may deem necessary or proper concerning the issuance, transfer and registration of certificates for shares of stock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Lost, Stolen, Destroyed or Mutilated Certificates</w:t>
      </w:r>
      <w:r>
        <w:rPr>
          <w:rFonts w:ascii="Times New Roman" w:hAnsi="Times New Roman"/>
          <w:sz w:val="20"/>
        </w:rPr>
        <w:t xml:space="preserve">. A new certificate of stock or uncertificated shares may be issued in the place of any certificate previously issued by the Company alleged to have been lost, stolen or destroyed, and the Company may, in its discretion, require the owner of such lost, stolen or destroyed certificate, or his or her legal representative, to give the Company a bond, in such sum as the Company may direct, in order to indemnify the Company against any claims that may be made against it in connection therewith. A new certificate or uncertificated shares of stock may be issued in the place of any certificate previously issued by the Company that has become mutilated upon the surrender by such owner of such mutilated certificate and, if required by the Company, the posting of a bond by such owner in an amount sufficient to indemnify the Company against any claim that may be made against it in connection therewith.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List of Stockholders Entitled To Vote</w:t>
      </w:r>
      <w:r>
        <w:rPr>
          <w:rFonts w:ascii="Times New Roman" w:hAnsi="Times New Roman"/>
          <w:sz w:val="20"/>
        </w:rPr>
        <w:t>. The Company shall prepare and make, at least 10 days before every meeting of stockholders of the Company, a complete list of the stockholders of the Company entitled to vote at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if the record date for determining the stockholders of the Company entitled to vote is less than 10 days before the date of the meeting, the list shall reflect the stockholders of the Company entitled to vote as of the 10th day before the meeting date), arranged in alphabetical order and showing the address of each stockholder of the Company and the number of shares registered in the name of each such stockholder. Nothing in this </w:t>
      </w:r>
      <w:r>
        <w:rPr>
          <w:rFonts w:ascii="Times New Roman" w:hAnsi="Times New Roman"/>
          <w:sz w:val="20"/>
          <w:u w:val="single"/>
        </w:rPr>
        <w:t>Section 5.05</w:t>
      </w:r>
      <w:r>
        <w:rPr>
          <w:rFonts w:ascii="Times New Roman" w:hAnsi="Times New Roman"/>
          <w:sz w:val="20"/>
        </w:rPr>
        <w:t xml:space="preserve"> shall require the Company to include electronic mail addresses or other electronic contact information on such list. Such list shall be open to the examination of any stockholder of the Company, for any purpose germane to the meeting at least 10 days prior to the meeting (a) on a reasonably accessible electronic network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information required to gain access to such list is provided with the notice of meeting) or (b) during ordinary business hours at the principal place of business of the Company.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of the Company entitled to vote at the meeting shall be produced and kept at the time and place of the meeting during the whole time thereof and may be examined by any stockholder of the Company who is present. Except as otherwise provided by law, the stock ledger shall be the only evidence as to who are the stockholders of the Company entitled to examine the list of stockholders of the Company required by this </w:t>
      </w:r>
      <w:r>
        <w:rPr>
          <w:rFonts w:ascii="Times New Roman" w:hAnsi="Times New Roman"/>
          <w:sz w:val="20"/>
          <w:u w:val="single"/>
        </w:rPr>
        <w:t>Section 5.05</w:t>
      </w:r>
      <w:r>
        <w:rPr>
          <w:rFonts w:ascii="Times New Roman" w:hAnsi="Times New Roman"/>
          <w:sz w:val="20"/>
        </w:rPr>
        <w:t xml:space="preserve"> or to vote in person or by proxy at any meeting of stockholders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Fixing Date for Determination of Stockholders of Record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order that the Company may determine the stockholders of the Company entitled to notice of any meeting of stockholders of the Company or any adjournment thereof, the Board may fix a record date, which record date shall not precede the date upon which the resolution fixing the record date is adopted by the Board, and which record date shall, unless otherwise required by law, not be more than 60 nor less than 10 days before the date of such meeting. If the Board so fixes a date, such date shall also be the record date for determining the stockholders of the Company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of the Company entitled to notice of or to vote at a meeting of stockholders of the Company shall be at the Close of Business on the day next preceding the day on which notice is given, or, if notice is waived, at the Close of Business on the day next preceding the day on which the meeting is held. </w:t>
      </w:r>
    </w:p>
    <w:p>
      <w:pPr>
        <w:pStyle w:val="TextBody"/>
        <w:bidi w:val="0"/>
        <w:spacing w:before="240" w:after="0"/>
        <w:jc w:val="left"/>
        <w:rPr>
          <w:rFonts w:ascii="Times New Roman" w:hAnsi="Times New Roman"/>
          <w:sz w:val="20"/>
        </w:rPr>
      </w:pPr>
      <w:r>
        <w:rPr>
          <w:rFonts w:ascii="Times New Roman" w:hAnsi="Times New Roman"/>
          <w:sz w:val="20"/>
        </w:rPr>
        <w:t xml:space="preserve">A determination of stockholders of record entitled to notice of or to vote at a meeting of stockholders of the Company shall apply to any adjournment of the meeting;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Board may fix a new record date for determination of stockholders of the Company entitled to vote at the adjourned meeting and in such case shall also fix as the record date for stockholders of the Company entitled to notice of such adjourned meeting the same or an earlier date as that fixed for determination of stockholders of the Company entitled to vote in accordance herewith at the adjourned meeting. </w:t>
      </w:r>
    </w:p>
    <w:p>
      <w:pPr>
        <w:pStyle w:val="TextBody"/>
        <w:bidi w:val="0"/>
        <w:spacing w:before="240" w:after="0"/>
        <w:jc w:val="left"/>
        <w:rPr>
          <w:rFonts w:ascii="Times New Roman" w:hAnsi="Times New Roman"/>
          <w:sz w:val="20"/>
        </w:rPr>
      </w:pPr>
      <w:r>
        <w:rPr>
          <w:rFonts w:ascii="Times New Roman" w:hAnsi="Times New Roman"/>
          <w:sz w:val="20"/>
        </w:rPr>
        <w:t xml:space="preserve">(B) In order that the Company may determine the stockholders of the Company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60 days prior to such action. If no such record date is fixed, the record date for determining stockholders of the Company for any such purpose shall be at the Close of Business on the day on which the Board adopts the resolution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(C) Unless otherwise restricted by the Amended and Restated Certificate of Incorporation, in order that the Company may determine the stockholders of the Company entitled to express consent to corporate action in writing without a meeting, the Board may fix a record date, which record date shall not precede the date upon which the resolution fixing the record date is adopted by the Board and which record date shall not be more than 10 days after the date upon which the resolution fixing the record date is adopted by the Board. Subject to the provisions of the Amended and Restated Certificate of Incorporation, any stockholder of record seeking to have the stockholders of the Company authorize or take corporate action by written consent shall, by written notice to the Secretary, request that the Board fix a record date, which notice shall include the text of any proposed resolution. If no record date for determining stockholders of the Company entitled to express consent to corporate action in writing without a meeting is fixed by the Board, (a) when no prior action of the Board is required by law, the record date for such purpose shall be the first date on which a signed written consent setting forth the action taken or proposed to be taken is delivered to the Company in accordance with applicable law and (b) if prior action by the Board is required by law, the record date for such purpose shall be at the Close of Business on the day on which the Board adopts the resolution taking such prior action. </w:t>
      </w:r>
    </w:p>
    <w:p>
      <w:pPr>
        <w:pStyle w:val="TextBody"/>
        <w:bidi w:val="0"/>
        <w:spacing w:before="240" w:after="0"/>
        <w:jc w:val="left"/>
        <w:rPr>
          <w:rFonts w:ascii="Times New Roman" w:hAnsi="Times New Roman"/>
          <w:sz w:val="20"/>
        </w:rPr>
      </w:pPr>
      <w:r>
        <w:rPr>
          <w:rFonts w:ascii="Times New Roman" w:hAnsi="Times New Roman"/>
          <w:sz w:val="20"/>
        </w:rPr>
        <w:t xml:space="preserve">Section 5.07 </w:t>
      </w:r>
      <w:r>
        <w:rPr>
          <w:rFonts w:ascii="Times New Roman" w:hAnsi="Times New Roman"/>
          <w:sz w:val="20"/>
          <w:u w:val="single"/>
        </w:rPr>
        <w:t>Registered Stockholders</w:t>
      </w:r>
      <w:r>
        <w:rPr>
          <w:rFonts w:ascii="Times New Roman" w:hAnsi="Times New Roman"/>
          <w:sz w:val="20"/>
        </w:rPr>
        <w:t xml:space="preserve">. Prior to the surrender to the Company of the certificate or certificates for a share or shares of stock or notification to the Company of the transfer of uncertificated shares with a request to record the transfer of such share or shares, the Company may treat the registered owner of such share or shares as the person entitled to receive dividends, to vote, to receive notifications and otherwise to exercise all the rights and powers of an owner of such share or shares. To the fullest extent permitted by law, the Company shall not be bound to recognize any equitable or other claim to or interest in such share or shares on the part of any other person, whether or not it shall have express or other notice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VI </w:t>
      </w:r>
    </w:p>
    <w:p>
      <w:pPr>
        <w:pStyle w:val="TextBody"/>
        <w:bidi w:val="0"/>
        <w:spacing w:before="0" w:after="0"/>
        <w:jc w:val="center"/>
        <w:rPr>
          <w:rFonts w:ascii="Times New Roman" w:hAnsi="Times New Roman"/>
          <w:sz w:val="20"/>
        </w:rPr>
      </w:pPr>
      <w:r>
        <w:rPr>
          <w:rFonts w:ascii="Times New Roman" w:hAnsi="Times New Roman"/>
          <w:sz w:val="20"/>
        </w:rPr>
        <w:t xml:space="preserve">NOTICE AND WAIVER OF NOTICE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Notice</w:t>
      </w:r>
      <w:r>
        <w:rPr>
          <w:rFonts w:ascii="Times New Roman" w:hAnsi="Times New Roman"/>
          <w:sz w:val="20"/>
        </w:rPr>
        <w:t xml:space="preserve">. Except as otherwise provided by these Bylaws or as permitted by applicable law, notice to stockholders of the Company shall be given in writing or by electronic transmission in the manner provided in Section 232 of the DGCL, or in any other manner permitted by the DGCL. If mailed, notice to stockholders of the Company shall be deemed given when deposited in the United States mail, postage prepaid, directed to the stockholder of the Company at such stockholder’s address as it appears on the records of the Company. If delivered by courier service, notice shall be deemed given at the earlier of when the notice is received or left at such stockholder’s address as the same appears on the records of the Company. If given by electronic mail, notice shall be deemed given when directed to such stockholder’s electronic mail address unless the stockholder has notified the Company in writing or by electronic transmission of an objection to receiving notice by electronic mail or such notice is prohibited by the DGCL. A notice by electronic mail must include a prominent legend that the communication is an important notice regarding the Company. A notice by electronic mail will include any files attached thereto and any information hyperlinked to a website if such electronic mail includes the contact information of an officer or agent of the Company who is available to assist with accessing such files or information. Notice to stockholders of the Company may also be given by other forms of electronic transmission consented to by the stockholder to whom the notice is given. If given by a posting on an electronic network together with separate notice to the stockholder of such specific posting, such notice shall be deemed given upon the later of (i) such posting and (ii) the giving of such separate notice. If notice is given by any other form of electronic transmission, such notice shall be deemed given when directed to the stockholder. An affidavit of the Secretary or an Assistant Secretary, the transfer agent of the Company or any other agent of the Company that the notice has been given shall, in the absence of fraud, be prima facie evidence of the facts stated therein. Notice shall be deemed to have been given to all stockholders of record who share an address if notice is given in accordance with the “householding” rules set forth in Rule 14a-3(e) under the Exchange Act and Section 233 of the DGCL. Except as otherwise provided herein or permitted by applicable law, notices to any director may be in writing and delivered personally or mailed to such director at such director’s address appearing on the books of the Company, or may be given by telephone or by any means of electronic transmission (including electronic mail) directed to an address for receipt by such director of electronic transmissions appearing on the books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Waiver of Notice</w:t>
      </w:r>
      <w:r>
        <w:rPr>
          <w:rFonts w:ascii="Times New Roman" w:hAnsi="Times New Roman"/>
          <w:sz w:val="20"/>
        </w:rPr>
        <w:t xml:space="preserve">. A written waiver of any notice, signed by a stockholder of the Company or director, or waiver by electronic transmission by such person, whether given before or after the time of the event for which notice is to be given, shall be deemed equivalent to the notice required to be given to such person.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 </w:t>
      </w:r>
    </w:p>
    <w:p>
      <w:pPr>
        <w:pStyle w:val="TextBody"/>
        <w:bidi w:val="0"/>
        <w:spacing w:before="0" w:after="0"/>
        <w:jc w:val="center"/>
        <w:rPr>
          <w:rFonts w:ascii="Times New Roman" w:hAnsi="Times New Roman"/>
          <w:sz w:val="20"/>
        </w:rPr>
      </w:pPr>
      <w:r>
        <w:rPr>
          <w:rFonts w:ascii="Times New Roman" w:hAnsi="Times New Roman"/>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Right to Indemnification</w:t>
      </w:r>
      <w:r>
        <w:rPr>
          <w:rFonts w:ascii="Times New Roman" w:hAnsi="Times New Roman"/>
          <w:sz w:val="20"/>
        </w:rPr>
        <w:t>. Each person who was or is made a party or is threatened to be made a party to or is otherwise involved in any action, suit or proceeding, whether civil, criminal, administrative or investigative (each a “</w:t>
      </w:r>
      <w:r>
        <w:rPr>
          <w:rFonts w:ascii="Times New Roman" w:hAnsi="Times New Roman"/>
          <w:b/>
          <w:sz w:val="20"/>
        </w:rPr>
        <w:t>proceeding</w:t>
      </w:r>
      <w:r>
        <w:rPr>
          <w:rFonts w:ascii="Times New Roman" w:hAnsi="Times New Roman"/>
          <w:sz w:val="20"/>
        </w:rPr>
        <w:t>”), by reason of the fact that he or she is or was a director or an officer of the Company or, while a director or officer of the Company, is or was serving at the request of the Company as a director, officer, employee, agent or trustee of another corporation or of a partnership, joint venture, trust or other enterprise, including service with respect to an employee benefit plan (an “</w:t>
      </w:r>
      <w:r>
        <w:rPr>
          <w:rFonts w:ascii="Times New Roman" w:hAnsi="Times New Roman"/>
          <w:b/>
          <w:sz w:val="20"/>
        </w:rPr>
        <w:t>indemnitee</w:t>
      </w:r>
      <w:r>
        <w:rPr>
          <w:rFonts w:ascii="Times New Roman" w:hAnsi="Times New Roman"/>
          <w:sz w:val="20"/>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Company to the fullest extent permitted by Delaware law, as the same exists or may hereafter be amended (but, in the case of any such amendment, if permitted, only to the extent that such amendment permits the Company to provide broader indemnification rights than such law permitted the Company to provide prior to such amendment), against all expense, liability and loss (including attorneys’ fees, judgments, fines, ERISA excise taxes or penalties and amounts paid in settlement) reasonably incurred or suffered by such indemnitee in connection therewith;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except as provided in </w:t>
      </w:r>
      <w:r>
        <w:rPr>
          <w:rFonts w:ascii="Times New Roman" w:hAnsi="Times New Roman"/>
          <w:sz w:val="20"/>
          <w:u w:val="single"/>
        </w:rPr>
        <w:t>Section 7.03</w:t>
      </w:r>
      <w:r>
        <w:rPr>
          <w:rFonts w:ascii="Times New Roman" w:hAnsi="Times New Roman"/>
          <w:sz w:val="20"/>
        </w:rPr>
        <w:t xml:space="preserve"> hereof with respect to proceedings to enforce rights to indemnification or advancement of expenses or with respect to any compulsory counterclaim brought by such indemnitee, the Company shall indemnify any such indemnitee in connection with a proceeding (or part thereof) initiated by such indemnitee only if such proceeding (or part thereof) was authorized by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Right to Advancement of Expenses</w:t>
      </w:r>
      <w:r>
        <w:rPr>
          <w:rFonts w:ascii="Times New Roman" w:hAnsi="Times New Roman"/>
          <w:sz w:val="20"/>
        </w:rPr>
        <w:t xml:space="preserve">. In addition to the right to indemnification conferred in </w:t>
      </w:r>
      <w:r>
        <w:rPr>
          <w:rFonts w:ascii="Times New Roman" w:hAnsi="Times New Roman"/>
          <w:sz w:val="20"/>
          <w:u w:val="single"/>
        </w:rPr>
        <w:t>Section 7.01</w:t>
      </w:r>
      <w:r>
        <w:rPr>
          <w:rFonts w:ascii="Times New Roman" w:hAnsi="Times New Roman"/>
          <w:sz w:val="20"/>
        </w:rPr>
        <w:t xml:space="preserve"> hereof, an indemnitee shall also have the right to be paid by the Company the expenses (including attorneys’ fees) incurred in appearing at, participating in or defending any such proceeding in advance of its final disposition or in connection with a proceeding brought to establish or enforce a right to indemnification or advancement of expenses under this </w:t>
      </w:r>
      <w:r>
        <w:rPr>
          <w:rFonts w:ascii="Times New Roman" w:hAnsi="Times New Roman"/>
          <w:sz w:val="20"/>
          <w:u w:val="single"/>
        </w:rPr>
        <w:t>Article VII</w:t>
      </w:r>
      <w:r>
        <w:rPr>
          <w:rFonts w:ascii="Times New Roman" w:hAnsi="Times New Roman"/>
          <w:sz w:val="20"/>
        </w:rPr>
        <w:t xml:space="preserve"> (which shall be governed by </w:t>
      </w:r>
      <w:r>
        <w:rPr>
          <w:rFonts w:ascii="Times New Roman" w:hAnsi="Times New Roman"/>
          <w:sz w:val="20"/>
          <w:u w:val="single"/>
        </w:rPr>
        <w:t>Section 7.03</w:t>
      </w:r>
      <w:r>
        <w:rPr>
          <w:rFonts w:ascii="Times New Roman" w:hAnsi="Times New Roman"/>
          <w:sz w:val="20"/>
        </w:rPr>
        <w:t xml:space="preserve"> hereof) (hereinafter an “</w:t>
      </w:r>
      <w:r>
        <w:rPr>
          <w:rFonts w:ascii="Times New Roman" w:hAnsi="Times New Roman"/>
          <w:b/>
          <w:sz w:val="20"/>
        </w:rPr>
        <w:t>advancement of expenses</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DGCL requires or in the case of an advance made in a proceeding brought to establish or enforce a right to indemnification or advancement, an advancement of expenses incurred by an indemnitee in his or her capacity as a director or officer (and not in any other capacity in which service was or is rendered by such indemnitee, including service to an employee benefit plan) shall be made solely upon delivery to the Company of an undertaking (an “</w:t>
      </w:r>
      <w:r>
        <w:rPr>
          <w:rFonts w:ascii="Times New Roman" w:hAnsi="Times New Roman"/>
          <w:b/>
          <w:sz w:val="20"/>
        </w:rPr>
        <w:t>undertaking</w:t>
      </w:r>
      <w:r>
        <w:rPr>
          <w:rFonts w:ascii="Times New Roman" w:hAnsi="Times New Roman"/>
          <w:sz w:val="20"/>
        </w:rPr>
        <w:t>”), by or on behalf of such indemnitee, to repay all amounts so advanced if it shall ultimately be determined by final judicial decision from which there is no further right to appeal (a “</w:t>
      </w:r>
      <w:r>
        <w:rPr>
          <w:rFonts w:ascii="Times New Roman" w:hAnsi="Times New Roman"/>
          <w:b/>
          <w:sz w:val="20"/>
        </w:rPr>
        <w:t>final adjudication</w:t>
      </w:r>
      <w:r>
        <w:rPr>
          <w:rFonts w:ascii="Times New Roman" w:hAnsi="Times New Roman"/>
          <w:sz w:val="20"/>
        </w:rPr>
        <w:t xml:space="preserve">”) that such indemnitee is not entitled to be indemnified or entitled to advancement of expenses under Sections 7.01 and 7.02 hereof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Right of Indemnitee to Bring Suit</w:t>
      </w:r>
      <w:r>
        <w:rPr>
          <w:rFonts w:ascii="Times New Roman" w:hAnsi="Times New Roman"/>
          <w:sz w:val="20"/>
        </w:rPr>
        <w:t xml:space="preserve">. If a claim under </w:t>
      </w:r>
      <w:r>
        <w:rPr>
          <w:rFonts w:ascii="Times New Roman" w:hAnsi="Times New Roman"/>
          <w:sz w:val="20"/>
          <w:u w:val="single"/>
        </w:rPr>
        <w:t>Section 7.01</w:t>
      </w:r>
      <w:r>
        <w:rPr>
          <w:rFonts w:ascii="Times New Roman" w:hAnsi="Times New Roman"/>
          <w:sz w:val="20"/>
        </w:rPr>
        <w:t xml:space="preserve"> or </w:t>
      </w:r>
      <w:r>
        <w:rPr>
          <w:rFonts w:ascii="Times New Roman" w:hAnsi="Times New Roman"/>
          <w:sz w:val="20"/>
          <w:u w:val="single"/>
        </w:rPr>
        <w:t>7.02</w:t>
      </w:r>
      <w:r>
        <w:rPr>
          <w:rFonts w:ascii="Times New Roman" w:hAnsi="Times New Roman"/>
          <w:sz w:val="20"/>
        </w:rPr>
        <w:t xml:space="preserve"> hereof is not paid in full by the Company within (a) 60 days after a written claim for indemnification has been received by the Company or (b) 20 days after a claim for an advancement of expenses has been received by the Company, the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or otherwise, the indemnitee shall be entitled to be paid also the expense (including attorneys’ fees) of prosecuting or defending such suit. In (a) any suit brought by the indemnitee to enforce a right to indemnification hereunder (but not in a suit brought by the indemnitee to enforce a right to an advancement of expenses) it shall be a defense that the indemnitee has not met any applicable standard for indemnification set forth in the DGCL and (b) any suit brought by the Company to recover an advancement of expenses pursuant to the terms of an undertaking or otherwise, the Company shall be entitled to recover such expenses upon a final adjudication that the indemnitee has not met any applicable standard for indemnification set forth in the DGCL. Neither the failure of the Company (including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Company (including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Company to recover an advancement of expenses pursuant to the terms of an undertaking or otherwise, the burden of proving that the indemnitee is not entitled to be indemnified, or to such advancement of expenses, under this </w:t>
      </w:r>
      <w:r>
        <w:rPr>
          <w:rFonts w:ascii="Times New Roman" w:hAnsi="Times New Roman"/>
          <w:sz w:val="20"/>
          <w:u w:val="single"/>
        </w:rPr>
        <w:t>Article VII</w:t>
      </w:r>
      <w:r>
        <w:rPr>
          <w:rFonts w:ascii="Times New Roman" w:hAnsi="Times New Roman"/>
          <w:sz w:val="20"/>
        </w:rPr>
        <w:t xml:space="preserve"> or otherwise shall be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Indemnification Not Exclusive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provision of indemnification to or the advancement of expenses and costs to any indemnitee under this </w:t>
      </w:r>
      <w:r>
        <w:rPr>
          <w:rFonts w:ascii="Times New Roman" w:hAnsi="Times New Roman"/>
          <w:sz w:val="20"/>
          <w:u w:val="single"/>
        </w:rPr>
        <w:t>Article VII</w:t>
      </w:r>
      <w:r>
        <w:rPr>
          <w:rFonts w:ascii="Times New Roman" w:hAnsi="Times New Roman"/>
          <w:sz w:val="20"/>
        </w:rPr>
        <w:t xml:space="preserve">, or the entitlement of any indemnitee to indemnification or advancement of expenses and costs under this </w:t>
      </w:r>
      <w:r>
        <w:rPr>
          <w:rFonts w:ascii="Times New Roman" w:hAnsi="Times New Roman"/>
          <w:sz w:val="20"/>
          <w:u w:val="single"/>
        </w:rPr>
        <w:t>Article VII</w:t>
      </w:r>
      <w:r>
        <w:rPr>
          <w:rFonts w:ascii="Times New Roman" w:hAnsi="Times New Roman"/>
          <w:sz w:val="20"/>
        </w:rPr>
        <w:t xml:space="preserve">, shall not limit or restrict in any way the power of the Company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of the Company or disinterested directors or otherwise, both as to action in such indemnitee’s capacity as an officer, director, employee or agent of the Company and as to action in any other capacity. </w:t>
      </w:r>
    </w:p>
    <w:p>
      <w:pPr>
        <w:pStyle w:val="TextBody"/>
        <w:bidi w:val="0"/>
        <w:spacing w:before="240" w:after="0"/>
        <w:jc w:val="left"/>
        <w:rPr>
          <w:rFonts w:ascii="Times New Roman" w:hAnsi="Times New Roman"/>
          <w:sz w:val="20"/>
        </w:rPr>
      </w:pPr>
      <w:r>
        <w:rPr>
          <w:rFonts w:ascii="Times New Roman" w:hAnsi="Times New Roman"/>
          <w:sz w:val="20"/>
        </w:rPr>
        <w:t xml:space="preserve">(B) Given that certain jointly indemnifiable claims (as defined below) may arise due to the service of the indemnitee as a director and/or officer of the Company at the request of the indemnitee-related entities (as defined below), the Company shall be fully and primarily responsible for the payment to the indemnitee in respect of indemnification or advancement of all expenses judgments, penalties, fines and amounts paid in settlement to the extent legally permitted and as required by the terms of the Amended and Restated Certificate of Incorporation or these Bylaws (or any other agreement between the Company and such persons) in connection with any such jointly indemnifiable claims, pursuant to and in accordance with the terms of this </w:t>
      </w:r>
      <w:r>
        <w:rPr>
          <w:rFonts w:ascii="Times New Roman" w:hAnsi="Times New Roman"/>
          <w:sz w:val="20"/>
          <w:u w:val="single"/>
        </w:rPr>
        <w:t>Article VII</w:t>
      </w:r>
      <w:r>
        <w:rPr>
          <w:rFonts w:ascii="Times New Roman" w:hAnsi="Times New Roman"/>
          <w:sz w:val="20"/>
        </w:rPr>
        <w:t xml:space="preserve">, irrespective of any right of recovery the indemnitee may have from the indemnitee-related entities. Any obligation on the part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indemnitee-related entities to indemnify or advance expenses to any indemnitee shall be secondary to the Company’s obligation and shall be reduced by any amount that the indemnitee may collect as indemnification or advancement from the Company. The Company irrevocably waives, relinquishes and releases the indemnitee-related entities from any and all claims against the indemnitee-related entities for contribution, subrogation or any other recovery of any kind in respect thereof. Under no circumstance shall the Company be entitled to any right of subrogation or contribution by the indemnitee-related entities and no right of advancement or recovery the indemnitee may have from the indemnitee-related entities shall reduce or otherwise alter the rights of the indemnitee or the obligations of the Company hereunder.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Times New Roman" w:hAnsi="Times New Roman"/>
          <w:sz w:val="20"/>
          <w:u w:val="single"/>
        </w:rPr>
        <w:t>Section 7.04(B</w:t>
      </w:r>
      <w:r>
        <w:rPr>
          <w:rFonts w:ascii="Times New Roman" w:hAnsi="Times New Roman"/>
          <w:sz w:val="20"/>
        </w:rPr>
        <w:t xml:space="preserve">), entitled to enforce this </w:t>
      </w:r>
      <w:r>
        <w:rPr>
          <w:rFonts w:ascii="Times New Roman" w:hAnsi="Times New Roman"/>
          <w:sz w:val="20"/>
          <w:u w:val="single"/>
        </w:rPr>
        <w:t>Section 7.04(B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w:t>
      </w:r>
      <w:r>
        <w:rPr>
          <w:rFonts w:ascii="Times New Roman" w:hAnsi="Times New Roman"/>
          <w:sz w:val="20"/>
          <w:u w:val="single"/>
        </w:rPr>
        <w:t>Section 7.04(B</w:t>
      </w:r>
      <w:r>
        <w:rPr>
          <w:rFonts w:ascii="Times New Roman" w:hAnsi="Times New Roman"/>
          <w:sz w:val="20"/>
        </w:rPr>
        <w:t xml:space="preserve">), the following terms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 The term “</w:t>
      </w:r>
      <w:r>
        <w:rPr>
          <w:rFonts w:ascii="Times New Roman" w:hAnsi="Times New Roman"/>
          <w:b/>
          <w:sz w:val="20"/>
        </w:rPr>
        <w:t>indemnitee-related entities</w:t>
      </w:r>
      <w:r>
        <w:rPr>
          <w:rFonts w:ascii="Times New Roman" w:hAnsi="Times New Roman"/>
          <w:sz w:val="20"/>
        </w:rPr>
        <w:t xml:space="preserve">”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 (other than as a result of obligations under an insurance policy). </w:t>
      </w:r>
    </w:p>
    <w:p>
      <w:pPr>
        <w:pStyle w:val="TextBody"/>
        <w:bidi w:val="0"/>
        <w:spacing w:before="240" w:after="0"/>
        <w:jc w:val="left"/>
        <w:rPr>
          <w:rFonts w:ascii="Times New Roman" w:hAnsi="Times New Roman"/>
          <w:sz w:val="20"/>
        </w:rPr>
      </w:pPr>
      <w:r>
        <w:rPr>
          <w:rFonts w:ascii="Times New Roman" w:hAnsi="Times New Roman"/>
          <w:sz w:val="20"/>
        </w:rPr>
        <w:t>(2) The term “</w:t>
      </w:r>
      <w:r>
        <w:rPr>
          <w:rFonts w:ascii="Times New Roman" w:hAnsi="Times New Roman"/>
          <w:b/>
          <w:sz w:val="20"/>
        </w:rPr>
        <w:t>jointly indemnifiable claims</w:t>
      </w:r>
      <w:r>
        <w:rPr>
          <w:rFonts w:ascii="Times New Roman" w:hAnsi="Times New Roman"/>
          <w:sz w:val="20"/>
        </w:rPr>
        <w:t xml:space="preserve">” shall be broadly construed and shall include, without limitation, any action, suit or proceeding for which the indemnitee shall be entitled to indemnification or advancement of expenses from both the indemnitee-related entities and the Company pursuant to Delaware law, any agreement or Amended and Restated Certificate of Incorporation, bylaws, partnership agreement, operating agreement, certificate of formation, certificate of limited partnership or comparable organizational documents of the Company or the indemnitee-related entities,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Section 7.05 </w:t>
      </w:r>
      <w:r>
        <w:rPr>
          <w:rFonts w:ascii="Times New Roman" w:hAnsi="Times New Roman"/>
          <w:sz w:val="20"/>
          <w:u w:val="single"/>
        </w:rPr>
        <w:t>Corporate Obligations; Reliance</w:t>
      </w:r>
      <w:r>
        <w:rPr>
          <w:rFonts w:ascii="Times New Roman" w:hAnsi="Times New Roman"/>
          <w:sz w:val="20"/>
        </w:rPr>
        <w:t xml:space="preserve">. The rights granted pursuant to the provisions of this </w:t>
      </w:r>
      <w:r>
        <w:rPr>
          <w:rFonts w:ascii="Times New Roman" w:hAnsi="Times New Roman"/>
          <w:sz w:val="20"/>
          <w:u w:val="single"/>
        </w:rPr>
        <w:t>Article VII</w:t>
      </w:r>
      <w:r>
        <w:rPr>
          <w:rFonts w:ascii="Times New Roman" w:hAnsi="Times New Roman"/>
          <w:sz w:val="20"/>
        </w:rPr>
        <w:t xml:space="preserve"> shall vest at the time a person becomes a director or officer of the Company and shall be deemed to create a binding contractual obligation on the part of the Company to the persons who from time to time are elected as officers or directors of the Company and such persons in acting in their capacities as officers or directors of the Company or any subsidiary shall be entitled to rely on such provisions of this </w:t>
      </w:r>
      <w:r>
        <w:rPr>
          <w:rFonts w:ascii="Times New Roman" w:hAnsi="Times New Roman"/>
          <w:sz w:val="20"/>
          <w:u w:val="single"/>
        </w:rPr>
        <w:t>Article VII</w:t>
      </w:r>
      <w:r>
        <w:rPr>
          <w:rFonts w:ascii="Times New Roman" w:hAnsi="Times New Roman"/>
          <w:sz w:val="20"/>
        </w:rPr>
        <w:t xml:space="preserve"> without giving notice thereof to the Company. Such rights shall continue as to an indemnitee who has ceased to be a director or officer and shall inure to the benefit of the indemnitee’s heirs, executors and administrators. Any amendment, alteration or repeal of this </w:t>
      </w:r>
      <w:r>
        <w:rPr>
          <w:rFonts w:ascii="Times New Roman" w:hAnsi="Times New Roman"/>
          <w:sz w:val="20"/>
          <w:u w:val="single"/>
        </w:rPr>
        <w:t>Article VII</w:t>
      </w:r>
      <w:r>
        <w:rPr>
          <w:rFonts w:ascii="Times New Roman" w:hAnsi="Times New Roman"/>
          <w:sz w:val="20"/>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 </w:t>
      </w:r>
    </w:p>
    <w:p>
      <w:pPr>
        <w:pStyle w:val="TextBody"/>
        <w:bidi w:val="0"/>
        <w:spacing w:before="240" w:after="0"/>
        <w:jc w:val="left"/>
        <w:rPr>
          <w:rFonts w:ascii="Times New Roman" w:hAnsi="Times New Roman"/>
          <w:sz w:val="20"/>
        </w:rPr>
      </w:pPr>
      <w:r>
        <w:rPr>
          <w:rFonts w:ascii="Times New Roman" w:hAnsi="Times New Roman"/>
          <w:sz w:val="20"/>
        </w:rPr>
        <w:t xml:space="preserve">Section 7.06 </w:t>
      </w:r>
      <w:r>
        <w:rPr>
          <w:rFonts w:ascii="Times New Roman" w:hAnsi="Times New Roman"/>
          <w:sz w:val="20"/>
          <w:u w:val="single"/>
        </w:rPr>
        <w:t>Insurance</w:t>
      </w:r>
      <w:r>
        <w:rPr>
          <w:rFonts w:ascii="Times New Roman" w:hAnsi="Times New Roman"/>
          <w:sz w:val="20"/>
        </w:rPr>
        <w:t xml:space="preserve">. The Company may maintain insurance, at its expense, to protect itself and any director, officer, employee or agent of the Company or another corporation, partnership, joint venture, trust or other enterprise against any expense, liability or loss, whether or not the Company would have the power to indemnify such person against such expense, liability or loss under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7.07 </w:t>
      </w:r>
      <w:r>
        <w:rPr>
          <w:rFonts w:ascii="Times New Roman" w:hAnsi="Times New Roman"/>
          <w:sz w:val="20"/>
          <w:u w:val="single"/>
        </w:rPr>
        <w:t>Indemnification of Employees and Agents of the Company</w:t>
      </w:r>
      <w:r>
        <w:rPr>
          <w:rFonts w:ascii="Times New Roman" w:hAnsi="Times New Roman"/>
          <w:sz w:val="20"/>
        </w:rPr>
        <w:t xml:space="preserve">. The Company may, to the extent authorized by the Board, grant rights to indemnification and to the advancement of expenses to any employee or agent of the Company to the fullest extent of the provisions of this </w:t>
      </w:r>
      <w:r>
        <w:rPr>
          <w:rFonts w:ascii="Times New Roman" w:hAnsi="Times New Roman"/>
          <w:sz w:val="20"/>
          <w:u w:val="single"/>
        </w:rPr>
        <w:t>Article VII</w:t>
      </w:r>
      <w:r>
        <w:rPr>
          <w:rFonts w:ascii="Times New Roman" w:hAnsi="Times New Roman"/>
          <w:sz w:val="20"/>
        </w:rPr>
        <w:t xml:space="preserve"> with respect to the indemnification and advancement of expenses of directors and officers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7.08 </w:t>
      </w:r>
      <w:r>
        <w:rPr>
          <w:rFonts w:ascii="Times New Roman" w:hAnsi="Times New Roman"/>
          <w:sz w:val="20"/>
          <w:u w:val="single"/>
        </w:rPr>
        <w:t>Savings Clause.</w:t>
      </w:r>
      <w:r>
        <w:rPr>
          <w:rFonts w:ascii="Times New Roman" w:hAnsi="Times New Roman"/>
          <w:sz w:val="20"/>
        </w:rPr>
        <w:t xml:space="preserve"> To the fullest extent permitted by law, if this </w:t>
      </w:r>
      <w:r>
        <w:rPr>
          <w:rFonts w:ascii="Times New Roman" w:hAnsi="Times New Roman"/>
          <w:sz w:val="20"/>
          <w:u w:val="single"/>
        </w:rPr>
        <w:t>Article VII</w:t>
      </w:r>
      <w:r>
        <w:rPr>
          <w:rFonts w:ascii="Times New Roman" w:hAnsi="Times New Roman"/>
          <w:sz w:val="20"/>
        </w:rPr>
        <w:t xml:space="preserve"> or any portion hereof shall be invalidated on any ground by any court of competent jurisdiction, then the Company shall nevertheless indemnify and advance expenses to each person entitled to indemnification under </w:t>
      </w:r>
      <w:r>
        <w:rPr>
          <w:rFonts w:ascii="Times New Roman" w:hAnsi="Times New Roman"/>
          <w:sz w:val="20"/>
          <w:u w:val="single"/>
        </w:rPr>
        <w:t>Section 7.01</w:t>
      </w:r>
      <w:r>
        <w:rPr>
          <w:rFonts w:ascii="Times New Roman" w:hAnsi="Times New Roman"/>
          <w:sz w:val="20"/>
        </w:rPr>
        <w:t xml:space="preserve"> as to all expense, liability and loss (including attorneys’ fees, judgments, fines, ERISA excise taxes or penalties and amounts paid in settlement) actually and reasonably incurred or suffered by such person and for which indemnification and advancement of expenses is available to such person pursuant to this </w:t>
      </w:r>
      <w:r>
        <w:rPr>
          <w:rFonts w:ascii="Times New Roman" w:hAnsi="Times New Roman"/>
          <w:sz w:val="20"/>
          <w:u w:val="single"/>
        </w:rPr>
        <w:t>Article VII</w:t>
      </w:r>
      <w:r>
        <w:rPr>
          <w:rFonts w:ascii="Times New Roman" w:hAnsi="Times New Roman"/>
          <w:sz w:val="20"/>
        </w:rPr>
        <w:t xml:space="preserve"> to the fullest extent permitted by any applicable portion of this </w:t>
      </w:r>
      <w:r>
        <w:rPr>
          <w:rFonts w:ascii="Times New Roman" w:hAnsi="Times New Roman"/>
          <w:sz w:val="20"/>
          <w:u w:val="single"/>
        </w:rPr>
        <w:t>Article VII</w:t>
      </w:r>
      <w:r>
        <w:rPr>
          <w:rFonts w:ascii="Times New Roman" w:hAnsi="Times New Roman"/>
          <w:sz w:val="20"/>
        </w:rPr>
        <w:t xml:space="preserve"> that shall not have been invalidated. </w:t>
      </w:r>
    </w:p>
    <w:p>
      <w:pPr>
        <w:pStyle w:val="TextBody"/>
        <w:bidi w:val="0"/>
        <w:spacing w:before="480" w:after="0"/>
        <w:jc w:val="center"/>
        <w:rPr>
          <w:rFonts w:ascii="Times New Roman" w:hAnsi="Times New Roman"/>
          <w:sz w:val="20"/>
        </w:rPr>
      </w:pPr>
      <w:r>
        <w:rPr>
          <w:rFonts w:ascii="Times New Roman" w:hAnsi="Times New Roman"/>
          <w:sz w:val="20"/>
        </w:rPr>
        <w:t xml:space="preserve">ARTICLE VIII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Electronic Transmission</w:t>
      </w:r>
      <w:r>
        <w:rPr>
          <w:rFonts w:ascii="Times New Roman" w:hAnsi="Times New Roman"/>
          <w:sz w:val="20"/>
        </w:rPr>
        <w:t>. For purposes of these Bylaws, “</w:t>
      </w:r>
      <w:r>
        <w:rPr>
          <w:rFonts w:ascii="Times New Roman" w:hAnsi="Times New Roman"/>
          <w:b/>
          <w:sz w:val="20"/>
        </w:rPr>
        <w:t>electronic transmission</w:t>
      </w:r>
      <w:r>
        <w:rPr>
          <w:rFonts w:ascii="Times New Roman" w:hAnsi="Times New Roman"/>
          <w:sz w:val="20"/>
        </w:rPr>
        <w:t>,” “</w:t>
      </w:r>
      <w:r>
        <w:rPr>
          <w:rFonts w:ascii="Times New Roman" w:hAnsi="Times New Roman"/>
          <w:b/>
          <w:sz w:val="20"/>
        </w:rPr>
        <w:t>electronic mail</w:t>
      </w:r>
      <w:r>
        <w:rPr>
          <w:rFonts w:ascii="Times New Roman" w:hAnsi="Times New Roman"/>
          <w:sz w:val="20"/>
        </w:rPr>
        <w:t>” and “</w:t>
      </w:r>
      <w:r>
        <w:rPr>
          <w:rFonts w:ascii="Times New Roman" w:hAnsi="Times New Roman"/>
          <w:b/>
          <w:sz w:val="20"/>
        </w:rPr>
        <w:t>electronic mail address</w:t>
      </w:r>
      <w:r>
        <w:rPr>
          <w:rFonts w:ascii="Times New Roman" w:hAnsi="Times New Roman"/>
          <w:sz w:val="20"/>
        </w:rPr>
        <w:t xml:space="preserve">,” as used herein, shall have the meanings ascribed thereto in the DGCL.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Facsimile / Electronic Signatures</w:t>
      </w:r>
      <w:r>
        <w:rPr>
          <w:rFonts w:ascii="Times New Roman" w:hAnsi="Times New Roman"/>
          <w:sz w:val="20"/>
        </w:rPr>
        <w:t xml:space="preserve">. In addition to the provisions for use of facsimile signatures elsewhere specifically authorized in these Bylaws, Docusign, facsimile and other forms of electronic signatures of any director or officer of the Company may be used to the fullest extent permitted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Books and Records</w:t>
      </w:r>
      <w:r>
        <w:rPr>
          <w:rFonts w:ascii="Times New Roman" w:hAnsi="Times New Roman"/>
          <w:sz w:val="20"/>
        </w:rPr>
        <w:t xml:space="preserve">. Any records administered by or on behalf of the Company in the regular course of its business, including its stock ledger, books of account, and minute books, may be maintained on any information storage device, method, or one or more electronic networks or databases (including one or more distributed electronic networks or databases) at such place or places, whether inside or outside of the State of Delaware, as may from time to time be designated by the Board; provided that the records so kept can be converted into clearly legible paper form within a reasonable time, and, with respect to the stock ledger, the records so kept comply with Section 224 of the DGCL. The Company shall so convert any records so kept upon the request of any person entitled to inspect such records pursuant to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Corporate Seal</w:t>
      </w:r>
      <w:r>
        <w:rPr>
          <w:rFonts w:ascii="Times New Roman" w:hAnsi="Times New Roman"/>
          <w:sz w:val="20"/>
        </w:rPr>
        <w:t xml:space="preserve">. The Board may provide a suitable seal, containing the name of the Company, which seal shall be in the charge of the Secretary. If and when so directed by the Board or a committee thereof, duplicates of the seal may be kept and used by the Treasurer or by an Assistant Secretary or Assistant Treasurer.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Fiscal Year</w:t>
      </w:r>
      <w:r>
        <w:rPr>
          <w:rFonts w:ascii="Times New Roman" w:hAnsi="Times New Roman"/>
          <w:sz w:val="20"/>
        </w:rPr>
        <w:t xml:space="preserve">. The fiscal year of the Company shall end each year on December 31st of that year, or such other day as the Board may designate.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Section Headings</w:t>
      </w:r>
      <w:r>
        <w:rPr>
          <w:rFonts w:ascii="Times New Roman" w:hAnsi="Times New Roman"/>
          <w:sz w:val="20"/>
        </w:rPr>
        <w:t xml:space="preserve">. Section headings in these Bylaws are for convenience of reference only and shall not be given any substantive effect in limiting or otherwise construing any provision herein.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Inconsistent Provisions</w:t>
      </w:r>
      <w:r>
        <w:rPr>
          <w:rFonts w:ascii="Times New Roman" w:hAnsi="Times New Roman"/>
          <w:sz w:val="20"/>
        </w:rPr>
        <w:t xml:space="preserve">. In the event that any provision of these Bylaws is or becomes inconsistent with any provision of the Amended and Restated Certificate of Incorporation, the DGCL or any other applicable law, such provision of these Bylaws shall not be given any effect to the extent of such inconsistency but shall otherwise be given full force and effect.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Severability</w:t>
      </w:r>
      <w:r>
        <w:rPr>
          <w:rFonts w:ascii="Times New Roman" w:hAnsi="Times New Roman"/>
          <w:sz w:val="20"/>
        </w:rPr>
        <w:t xml:space="preserve">. If any provision of these Bylaws shall be held to be invalid, illegal or unenforceable as applied to any person or entity or circumstance for any reason whatsoever, then, to the fullest extent permitted by law, the validity, legality and enforceability of such provision in any other circumstance and of the remaining provisions of these Bylaws and the application of such provision to other persons or entities or circumstances shall not in any way be affected or impaired thereby.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Emergency Bylaws.</w:t>
      </w:r>
      <w:r>
        <w:rPr>
          <w:rFonts w:ascii="Times New Roman" w:hAnsi="Times New Roman"/>
          <w:sz w:val="20"/>
        </w:rPr>
        <w:t xml:space="preserve"> This </w:t>
      </w:r>
      <w:r>
        <w:rPr>
          <w:rFonts w:ascii="Times New Roman" w:hAnsi="Times New Roman"/>
          <w:sz w:val="20"/>
          <w:u w:val="single"/>
        </w:rPr>
        <w:t>Section 8.09</w:t>
      </w:r>
      <w:r>
        <w:rPr>
          <w:rFonts w:ascii="Times New Roman" w:hAnsi="Times New Roman"/>
          <w:sz w:val="20"/>
        </w:rPr>
        <w:t xml:space="preserve"> shall be operative during any emergency condition as contemplated by Section 110 of the DGCL (an “</w:t>
      </w:r>
      <w:r>
        <w:rPr>
          <w:rFonts w:ascii="Times New Roman" w:hAnsi="Times New Roman"/>
          <w:b/>
          <w:sz w:val="20"/>
        </w:rPr>
        <w:t>Emergency</w:t>
      </w:r>
      <w:r>
        <w:rPr>
          <w:rFonts w:ascii="Times New Roman" w:hAnsi="Times New Roman"/>
          <w:sz w:val="20"/>
        </w:rPr>
        <w:t xml:space="preserve">”), notwithstanding any different or conflicting provisions in these Bylaws, the Amended and Restated Certificate of Incorporation or the DGCL. In the event of any Emergency, or other similar emergency condition, if a quorum cannot be readily convened for a meeting, the director or directors in attendance at a meeting of the Board or a standing committee thereof shall constitute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quorum. Such director or directors in attendance may further take action to appoint one or more of themselves or other directors of the Company to membership on any standing or temporary committees of the Board as they shall deem necessary and appropriate. Except as the Board may otherwise determine, during any Emergency, the Company and its directors and officers, may exercise any authority and take any action or measure contemplated by Section 110 of the DGCL. </w:t>
      </w:r>
    </w:p>
    <w:p>
      <w:pPr>
        <w:pStyle w:val="TextBody"/>
        <w:bidi w:val="0"/>
        <w:spacing w:before="480" w:after="0"/>
        <w:jc w:val="center"/>
        <w:rPr>
          <w:rFonts w:ascii="Times New Roman" w:hAnsi="Times New Roman"/>
          <w:sz w:val="20"/>
        </w:rPr>
      </w:pPr>
      <w:r>
        <w:rPr>
          <w:rFonts w:ascii="Times New Roman" w:hAnsi="Times New Roman"/>
          <w:sz w:val="20"/>
        </w:rPr>
        <w:t xml:space="preserve">ARTICLE IX </w:t>
      </w:r>
    </w:p>
    <w:p>
      <w:pPr>
        <w:pStyle w:val="TextBody"/>
        <w:bidi w:val="0"/>
        <w:spacing w:before="0" w:after="0"/>
        <w:jc w:val="center"/>
        <w:rPr>
          <w:rFonts w:ascii="Times New Roman" w:hAnsi="Times New Roman"/>
          <w:sz w:val="20"/>
        </w:rPr>
      </w:pPr>
      <w:r>
        <w:rPr>
          <w:rFonts w:ascii="Times New Roman" w:hAnsi="Times New Roman"/>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Amendments</w:t>
      </w:r>
      <w:r>
        <w:rPr>
          <w:rFonts w:ascii="Times New Roman" w:hAnsi="Times New Roman"/>
          <w:sz w:val="20"/>
        </w:rPr>
        <w:t xml:space="preserve">. The Board is expressly authorized to make, repeal, alter, amend and rescind, in whole or in part, these Bylaws without the assent or vote of the stockholders of the Company in any manner not inconsistent with the laws of the State of Delaware or the Amended and Restated Certificate of Incorporation and subject to the terms of the Stockholders Agreement. Before the Trigger Event, the affirmative vote of the holders of a majority in voting power of all the then-outstanding shares of Common Stock (as defined in the Amended and Restated Certificate of Incorporation) entitled to vote thereon, with both Class A and Class B Common Stock holders voting together as a single class, shall be required in order for the stockholders of the Company to alter, amend, repeal or rescind, in whole or in part, any provision of the Bylaws or to adopt any provision inconsistent therewith. Notwithstanding any other provisions of these Bylaws or any provision of law that might otherwise permit a lesser vote of the stockholders of the Company, from and after the Trigger Event, in addition to any vote of the holders of any class or series of shares of the Company required by the Amended and Restated Certificate of Incorporation (including any certificate of designation relating to any series of Preferred Stock), these Bylaws or applicable law, the affirmative vote of the holders of at least 66 2/3% in voting power of all the then-outstanding shares of Common Stock of the Company entitled to vote thereon, with both Class A and Class B Common Stock holders voting together as a single class, shall be required in order for the stockholders of the Company to alter, amend, repeal or rescind, in whole or in part, any provision of these Bylaws (including this </w:t>
      </w:r>
      <w:r>
        <w:rPr>
          <w:rFonts w:ascii="Times New Roman" w:hAnsi="Times New Roman"/>
          <w:sz w:val="20"/>
          <w:u w:val="single"/>
        </w:rPr>
        <w:t>Section 9.01</w:t>
      </w:r>
      <w:r>
        <w:rPr>
          <w:rFonts w:ascii="Times New Roman" w:hAnsi="Times New Roman"/>
          <w:sz w:val="20"/>
        </w:rPr>
        <w:t xml:space="preserve">) or to adopt any provision inconsistent herewith.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p>
      <w:pPr>
        <w:pStyle w:val="TextBody"/>
        <w:bidi w:val="0"/>
        <w:spacing w:before="0" w:after="0"/>
        <w:jc w:val="right"/>
        <w:rPr>
          <w:rFonts w:ascii="Times New Roman" w:hAnsi="Times New Roman"/>
          <w:b/>
          <w:sz w:val="20"/>
        </w:rPr>
      </w:pPr>
      <w:bookmarkStart w:id="7" w:name="d63178dex43.htm"/>
      <w:bookmarkStart w:id="8" w:name="ksd63178dex43"/>
      <w:bookmarkEnd w:id="7"/>
      <w:bookmarkEnd w:id="8"/>
      <w:r>
        <w:rPr>
          <w:rFonts w:ascii="Times New Roman" w:hAnsi="Times New Roman"/>
          <w:b/>
          <w:sz w:val="20"/>
        </w:rPr>
        <w:t xml:space="preserve">Exhibit 4.3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ITG,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OMNIBUS INCENTIVE PLAN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PURPOSE </w:t>
      </w:r>
    </w:p>
    <w:p>
      <w:pPr>
        <w:pStyle w:val="TextBody"/>
        <w:bidi w:val="0"/>
        <w:spacing w:before="240" w:after="0"/>
        <w:jc w:val="left"/>
        <w:rPr>
          <w:rFonts w:ascii="Times New Roman" w:hAnsi="Times New Roman"/>
          <w:sz w:val="20"/>
        </w:rPr>
      </w:pPr>
      <w:r>
        <w:rPr>
          <w:rFonts w:ascii="Times New Roman" w:hAnsi="Times New Roman"/>
          <w:sz w:val="20"/>
        </w:rPr>
        <w:t>The purpose of this ITG, Inc. Omnibus Incentive Plan (this “</w:t>
      </w:r>
      <w:r>
        <w:rPr>
          <w:rFonts w:ascii="Times New Roman" w:hAnsi="Times New Roman"/>
          <w:b/>
          <w:sz w:val="20"/>
          <w:u w:val="single"/>
        </w:rPr>
        <w:t>Plan</w:t>
      </w:r>
      <w:r>
        <w:rPr>
          <w:rFonts w:ascii="Times New Roman" w:hAnsi="Times New Roman"/>
          <w:sz w:val="20"/>
        </w:rPr>
        <w:t xml:space="preserve">”) is to promote the success of the Company’s business for the benefit of its stockholders by enabling the Company to offer Eligible Individuals cash and stock-based incentives in order to attract, retain, and reward such individuals and strengthen the mutuality of interests between such individuals and the Company’s stockholders. This Plan is effective as of the date set forth in Article XIV.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Plan, the following terms shall have the following meanings: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u w:val="single"/>
        </w:rPr>
        <w:t>Affiliate</w:t>
      </w:r>
      <w:r>
        <w:rPr>
          <w:rFonts w:ascii="Times New Roman" w:hAnsi="Times New Roman"/>
          <w:sz w:val="20"/>
        </w:rPr>
        <w:t xml:space="preserve">” means a corporation or other entity controlled by, controlling, or under common control with the Company. The term “control” (including, with correlative meaning, the terms “controlled by” and “under common control with”), as applied to any Person, means the possession, directly or indirectly, of the power to direct or cause the direction of management and policies of such Person, whether through the ownership of voting or other securities, by contract or otherwise.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u w:val="single"/>
        </w:rPr>
        <w:t>Applicable Law</w:t>
      </w:r>
      <w:r>
        <w:rPr>
          <w:rFonts w:ascii="Times New Roman" w:hAnsi="Times New Roman"/>
          <w:sz w:val="20"/>
        </w:rPr>
        <w:t xml:space="preserve">” means the requirements relating to the administration of equity-based awards and the related shares under U.S. state corporate law, U.S. federal and state securities laws, the rules or requirements of any stock exchange or quotation system on which the shares are listed or quoted, and any other applicable laws, including tax laws, of any U.S. or non-U.S. jurisdictions where Awards are, or will be, granted under this Plan.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u w:val="single"/>
        </w:rPr>
        <w:t>Award</w:t>
      </w:r>
      <w:r>
        <w:rPr>
          <w:rFonts w:ascii="Times New Roman" w:hAnsi="Times New Roman"/>
          <w:sz w:val="20"/>
        </w:rPr>
        <w:t xml:space="preserve">” means any award under this Plan of any Stock Option, Stock Appreciation Right, Restricted Stock, Restricted Stock Units, Performance Award, Other Stock-Based Award, or Cash Award. All Awards shall be evidenced by and subject to the terms of an Award Agreement.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u w:val="single"/>
        </w:rPr>
        <w:t>Award Agreement</w:t>
      </w:r>
      <w:r>
        <w:rPr>
          <w:rFonts w:ascii="Times New Roman" w:hAnsi="Times New Roman"/>
          <w:sz w:val="20"/>
        </w:rPr>
        <w:t xml:space="preserve">” means the written or electronic agreement, contract, certificate, or other instrument or document evidencing the terms and conditions of an individual Award. Each Award Agreement shall be subject to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u w:val="single"/>
        </w:rPr>
        <w:t>Board</w:t>
      </w:r>
      <w:r>
        <w:rPr>
          <w:rFonts w:ascii="Times New Roman" w:hAnsi="Times New Roman"/>
          <w:sz w:val="20"/>
        </w:rPr>
        <w:t xml:space="preserve">” means the Board of Directors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u w:val="single"/>
        </w:rPr>
        <w:t>Cash Award</w:t>
      </w:r>
      <w:r>
        <w:rPr>
          <w:rFonts w:ascii="Times New Roman" w:hAnsi="Times New Roman"/>
          <w:sz w:val="20"/>
        </w:rPr>
        <w:t xml:space="preserve">” means an Award granted to an Eligible Individual pursuant to Section 9.3 of this Plan and payable in cash at such time or times and subject to such terms and conditions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u w:val="single"/>
        </w:rPr>
        <w:t>Cause</w:t>
      </w:r>
      <w:r>
        <w:rPr>
          <w:rFonts w:ascii="Times New Roman" w:hAnsi="Times New Roman"/>
          <w:sz w:val="20"/>
        </w:rPr>
        <w:t xml:space="preserve">” means, unless otherwise determined by the Committee in the applicable Award Agreement, with respect to a Participant’s Termination of Service, the following: (a) in the case where there is no employment agreement, offer letter, consulting agreement, change in control agreement, or similar agreement in effect between the Company or an Affiliate and the Participant at the time of the grant of the Award (or where there is such agreement in effect but it does not define “cause” (or words of like import)), the Participant’s (i) commission of, conviction or indictment for, or plea of guilty or no contest to, a felony (or state law equivalent) or a crime involving moral turpitude or the commission of any other act involving willful malfeasance or fiduciary breach with respect to the Company or an Affiliate; (ii) willful failure or refusal to perform duties as reasonably directed by the person to whom the Participant reports or to follow any lawful directive pertaining to the Participant’s employment or service to the Company or an Affiliate; (iii) conduct that brings or is reasonably likely to bring the Company or an Affiliate negative publicity or into public disgrace, embarrassment, disrepute, or material economic harm; (iv) negligence or willful misconduct with respect to the Company or an Affiliate; (v) material violation of the Company’s policies or codes of conduct, including policies related to discrimination, harassment, performance of illegal or unethical activities, or ethical misconduct; (vi) fraud, theft or embezzlement associated with the Participant’s employment or service to the Company or an Affiliate; or (vii) breach of any written agreement between the Participant and the Company or an Affiliate, including any representation, warranty or covenant (including any non-competition, non-solicitation, no-hire, or confidentiality covenant) made under such written agreement; or (b) in the case where there is an employment agreement, offer letter, consulting agreement, change in control agreement, or similar agreement in effect between the Company or an Affiliate and the Participant at the time of the grant of the Award that defines “cause” (or words of like import), “cause” as defined under such agreement.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u w:val="single"/>
        </w:rPr>
        <w:t>Change in Control</w:t>
      </w:r>
      <w:r>
        <w:rPr>
          <w:rFonts w:ascii="Times New Roman" w:hAnsi="Times New Roman"/>
          <w:sz w:val="20"/>
        </w:rPr>
        <w:t xml:space="preserve">” means and includes each of the following, unless otherwise determined by the Committee in the applicable Award Agreement or other written agreement with a Participant approved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any Person (other than the Company, any trustee or other fiduciary holding securities under any employee benefit plan of the Company, or any company owned, directly or indirectly, by the stockholders of the Company in substantially the same proportions as their ownership of the Company), becoming the beneficial owner (as defined in Rule 13d-3 under the Exchange Act), directly or indirectly, of securities of the Company representing fifty percent (50%) or more of the combined voting power of the Company’s then outstanding securities, excluding for purposes herein, acquisitions pursuant to a Business Combination (as defined below) that does not constitute a Change in Control as defined in Section 2.8(b); </w:t>
      </w:r>
    </w:p>
    <w:p>
      <w:pPr>
        <w:pStyle w:val="TextBody"/>
        <w:bidi w:val="0"/>
        <w:spacing w:before="240" w:after="0"/>
        <w:jc w:val="left"/>
        <w:rPr>
          <w:rFonts w:ascii="Times New Roman" w:hAnsi="Times New Roman"/>
          <w:sz w:val="20"/>
        </w:rPr>
      </w:pPr>
      <w:r>
        <w:rPr>
          <w:rFonts w:ascii="Times New Roman" w:hAnsi="Times New Roman"/>
          <w:sz w:val="20"/>
        </w:rPr>
        <w:t>(b) a merger, reorganization, or consolidation of the Company or in which equity securities of the Company are issued (each, a “</w:t>
      </w:r>
      <w:r>
        <w:rPr>
          <w:rFonts w:ascii="Times New Roman" w:hAnsi="Times New Roman"/>
          <w:sz w:val="20"/>
          <w:u w:val="single"/>
        </w:rPr>
        <w:t>Business Combination</w:t>
      </w:r>
      <w:r>
        <w:rPr>
          <w:rFonts w:ascii="Times New Roman" w:hAnsi="Times New Roman"/>
          <w:sz w:val="20"/>
        </w:rPr>
        <w:t xml:space="preserve">”), other than a merger, reorganization or consolidation which would result in the voting securities of the Company outstanding immediately prior thereto continuing to represent (either by remaining outstanding or by being converted into voting securities of the surviving entity or its direct or indirect parent) more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than fifty percent (50%) of the combined voting power of the voting securities of the Company or such surviving entity (or, as applicable, a direct or indirect parent of the Company or such surviving entity) outstanding immediately after such merger, reorganization or consolidation; </w:t>
      </w:r>
      <w:r>
        <w:rPr>
          <w:rFonts w:ascii="Times New Roman" w:hAnsi="Times New Roman"/>
          <w:i/>
          <w:sz w:val="20"/>
        </w:rPr>
        <w:t>provided, however</w:t>
      </w:r>
      <w:r>
        <w:rPr>
          <w:rFonts w:ascii="Times New Roman" w:hAnsi="Times New Roman"/>
          <w:sz w:val="20"/>
        </w:rPr>
        <w:t xml:space="preserve">, that a merger, reorganization or consolidation effected to implement a recapitalization of the Company (or similar transaction) in which no Person (other than those covered by the exceptions in Section 2.8(a)) acquires more than fifty percent (50%) of the combined voting power of the Company’s then outstanding securities shall not constitute a Change in Control; </w:t>
      </w:r>
    </w:p>
    <w:p>
      <w:pPr>
        <w:pStyle w:val="TextBody"/>
        <w:bidi w:val="0"/>
        <w:spacing w:before="240" w:after="0"/>
        <w:jc w:val="left"/>
        <w:rPr>
          <w:rFonts w:ascii="Times New Roman" w:hAnsi="Times New Roman"/>
          <w:sz w:val="20"/>
        </w:rPr>
      </w:pPr>
      <w:r>
        <w:rPr>
          <w:rFonts w:ascii="Times New Roman" w:hAnsi="Times New Roman"/>
          <w:sz w:val="20"/>
        </w:rPr>
        <w:t xml:space="preserve">(c) during the period of two (2) consecutive years, individuals who, at the beginning of such period, constitute the Board together with any new director(s) (other than a director designated by a Person who has entered into an agreement with the Company to effect a transaction described in Sections 2.8(a) or (b)) whose election by the Board or nomination for election by the Company’s stockholders was approved by a vote of at least two-thirds of the directors then still in office who either were directors at the beginning of the two (2) year period or whose election or nomination for election was previously so approved, cease for any reason to constitute a majority thereof; or </w:t>
      </w:r>
    </w:p>
    <w:p>
      <w:pPr>
        <w:pStyle w:val="TextBody"/>
        <w:bidi w:val="0"/>
        <w:spacing w:before="240" w:after="0"/>
        <w:jc w:val="left"/>
        <w:rPr>
          <w:rFonts w:ascii="Times New Roman" w:hAnsi="Times New Roman"/>
          <w:sz w:val="20"/>
        </w:rPr>
      </w:pPr>
      <w:r>
        <w:rPr>
          <w:rFonts w:ascii="Times New Roman" w:hAnsi="Times New Roman"/>
          <w:sz w:val="20"/>
        </w:rPr>
        <w:t xml:space="preserve">(d)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 own, directly or indirectly, fifty percent (50%) or more of the combined voting power of the outstanding voting securities of the Company at the time of the sale.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Section 2.8, acquisitions or dispositions of securities of the Company by Oaktree Capital Management, L.P., any of its respective affiliates, or any investment vehicle or fund controlled by or managed by, or otherwise affiliated with Oaktree Capital Management, L.P. shall not, in and of themselves, constitute a Change in Control unless the applicable requirements of Section 2.8(a), (b), (c) or (d) are otherwise satisfied. Notwithstanding the foregoing, with respect to any Award that is characterized as “nonqualified deferred compensation” within the meaning of Section 409A of the Code, an event shall not be considered to be a Change in Control under this Plan for purposes of payment of such Award unless such event is also a “change in ownership,” a “change in effective control,” or a “change in the ownership of a substantial portion of the assets” of the Company within the meaning of Section 409A of the Code. </w:t>
      </w:r>
    </w:p>
    <w:p>
      <w:pPr>
        <w:pStyle w:val="TextBody"/>
        <w:bidi w:val="0"/>
        <w:spacing w:before="24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w:t>
      </w:r>
      <w:r>
        <w:rPr>
          <w:rFonts w:ascii="Times New Roman" w:hAnsi="Times New Roman"/>
          <w:b/>
          <w:sz w:val="20"/>
          <w:u w:val="single"/>
        </w:rPr>
        <w:t>Change in Control Price</w:t>
      </w:r>
      <w:r>
        <w:rPr>
          <w:rFonts w:ascii="Times New Roman" w:hAnsi="Times New Roman"/>
          <w:sz w:val="20"/>
        </w:rPr>
        <w:t xml:space="preserve">” means the highest price per Share paid in any transaction related to a Change in Control as determined by the Committee in its discretion.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u w:val="single"/>
        </w:rPr>
        <w:t>Class</w:t>
      </w:r>
      <w:r>
        <w:rPr>
          <w:rFonts w:ascii="Times New Roman" w:hAnsi="Times New Roman"/>
          <w:sz w:val="20"/>
          <w:u w:val="single"/>
        </w:rPr>
        <w:t> </w:t>
      </w:r>
      <w:r>
        <w:rPr>
          <w:rFonts w:ascii="Times New Roman" w:hAnsi="Times New Roman"/>
          <w:b/>
          <w:sz w:val="20"/>
          <w:u w:val="single"/>
        </w:rPr>
        <w:t>B</w:t>
      </w:r>
      <w:r>
        <w:rPr>
          <w:rFonts w:ascii="Times New Roman" w:hAnsi="Times New Roman"/>
          <w:sz w:val="20"/>
        </w:rPr>
        <w:t xml:space="preserve">” means the Class B common stock, $0.001 par value per share, of the Company.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u w:val="single"/>
        </w:rPr>
        <w:t>Code</w:t>
      </w:r>
      <w:r>
        <w:rPr>
          <w:rFonts w:ascii="Times New Roman" w:hAnsi="Times New Roman"/>
          <w:sz w:val="20"/>
        </w:rPr>
        <w:t xml:space="preserve">” means the U.S. Internal Revenue Code of 1986, as amended from time to time. Any reference to any section of the Code shall also be a reference to any successor provision and any guidance and treasury regulation promulgated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u w:val="single"/>
        </w:rPr>
        <w:t>Committee</w:t>
      </w:r>
      <w:r>
        <w:rPr>
          <w:rFonts w:ascii="Times New Roman" w:hAnsi="Times New Roman"/>
          <w:sz w:val="20"/>
        </w:rPr>
        <w:t xml:space="preserve">” means any committee of the Board duly authorized by the Board to administer this Plan;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unless otherwise determined by the Board, the Committee shall consist solely of two or more members of the Board who are each (a) a “non-employee director” within the meaning of Rule 16b-3(b), and (b) “independent” under the listing standards or rules of the securities exchange upon which the Common Stock is traded, but only to the extent such independence is required in order to take the action at issue pursuant to such standards or rules. If no committee is duly authorized by the Board to administer this Plan, the term “Committee” shall be deemed to refer to the Board for all purposes under this Plan. The Board may abolish any Committee or re-vest in itself any previously delegated authority from time to time, and will retain the right to exercise the authority of the Committee to the extent consistent with Applicable Law. </w:t>
      </w:r>
    </w:p>
    <w:p>
      <w:pPr>
        <w:pStyle w:val="TextBody"/>
        <w:bidi w:val="0"/>
        <w:spacing w:before="24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u w:val="single"/>
        </w:rPr>
        <w:t>Common Stock</w:t>
      </w:r>
      <w:r>
        <w:rPr>
          <w:rFonts w:ascii="Times New Roman" w:hAnsi="Times New Roman"/>
          <w:sz w:val="20"/>
        </w:rPr>
        <w:t xml:space="preserve">” means the Class A common stock, $0.001 par value per share, of the Company.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u w:val="single"/>
        </w:rPr>
        <w:t>Company</w:t>
      </w:r>
      <w:r>
        <w:rPr>
          <w:rFonts w:ascii="Times New Roman" w:hAnsi="Times New Roman"/>
          <w:sz w:val="20"/>
        </w:rPr>
        <w:t xml:space="preserve">” means ITG, Inc., a Delaware corporation, and its successors by operation of law. </w:t>
      </w:r>
    </w:p>
    <w:p>
      <w:pPr>
        <w:pStyle w:val="TextBody"/>
        <w:bidi w:val="0"/>
        <w:spacing w:before="24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sz w:val="20"/>
          <w:u w:val="single"/>
        </w:rPr>
        <w:t>Consultant</w:t>
      </w:r>
      <w:r>
        <w:rPr>
          <w:rFonts w:ascii="Times New Roman" w:hAnsi="Times New Roman"/>
          <w:sz w:val="20"/>
        </w:rPr>
        <w:t xml:space="preserve">” means any natural person who is an advisor or consultant or other service provider to the Company or any of its Affiliates.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u w:val="single"/>
        </w:rPr>
        <w:t>Detrimental Conduct</w:t>
      </w:r>
      <w:r>
        <w:rPr>
          <w:rFonts w:ascii="Times New Roman" w:hAnsi="Times New Roman"/>
          <w:sz w:val="20"/>
        </w:rPr>
        <w:t xml:space="preserve">” means, as determined by the Company, a Participant’s serious misconduct or unethical behavior, including any of the following: (a) any violation by the Participant of a restrictive covenant agreement that the Participant has entered into with the Company or an Affiliate (covering, for example, confidentiality, non-competition, non-solicitation, non-disparagement, etc.); (b) any conduct by the Participant that could result in the Participant’s Termination of Service for Cause; (c) the commission of a criminal act by the Participant, whether or not performed in the workplace, that subjects, or if generally known would subject, the Company or an Affiliate to public ridicule or embarrassment, or other improper or intentional conduct by the Participant causing reputational harm to the Company, an Affiliate, or a client or former client of the Company or an Affiliate; (d) the Participant’s breach of a fiduciary duty owed to the Company or an Affiliate or a client or former client of the Company or an Affiliate; (e) the Participant’s intentional violation, or grossly negligent disregard, of the Company’s or an Affiliate’s policies, rules, or procedures; or (f) the Participant taking or maintaining trading positions that result in a need to restate financial results in a subsequent reporting period or that result in a significant financial loss to the Company or an Affiliate.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sz w:val="20"/>
          <w:u w:val="single"/>
        </w:rPr>
        <w:t>Disability</w:t>
      </w:r>
      <w:r>
        <w:rPr>
          <w:rFonts w:ascii="Times New Roman" w:hAnsi="Times New Roman"/>
          <w:sz w:val="20"/>
        </w:rPr>
        <w:t xml:space="preserve">” means, unless otherwise determined by the Committee in the applicable Award Agreement, with respect to a Participant’s Termination of Service, that the Participant is unable to engage in any substantial gainful activity by reason of any medically determinable physical or mental impairment, after accounting for reasonable accommodations (if applicable and required by Applicable Law); </w:t>
      </w:r>
      <w:r>
        <w:rPr>
          <w:rFonts w:ascii="Times New Roman" w:hAnsi="Times New Roman"/>
          <w:i/>
          <w:sz w:val="20"/>
        </w:rPr>
        <w:t>provided, however</w:t>
      </w:r>
      <w:r>
        <w:rPr>
          <w:rFonts w:ascii="Times New Roman" w:hAnsi="Times New Roman"/>
          <w:sz w:val="20"/>
        </w:rPr>
        <w:t xml:space="preserve">, for purposes of an Incentive Stock Option, the term Disability shall have the meaning ascribed to it under Section 22(e)(3) of the Code. The determination of whether an individual has a Disability shall be determined by the Committee, and the Committee may rely on any determination that a Participant is disabled for purposes of benefits under any long-term disability plan in which a Participant participates that is maintained by the Company or any Affiliate.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xml:space="preserve"> “</w:t>
      </w:r>
      <w:r>
        <w:rPr>
          <w:rFonts w:ascii="Times New Roman" w:hAnsi="Times New Roman"/>
          <w:b/>
          <w:sz w:val="20"/>
          <w:u w:val="single"/>
        </w:rPr>
        <w:t>Dividend Equivalent Rights</w:t>
      </w:r>
      <w:r>
        <w:rPr>
          <w:rFonts w:ascii="Times New Roman" w:hAnsi="Times New Roman"/>
          <w:sz w:val="20"/>
        </w:rPr>
        <w:t xml:space="preserve">” means a right granted to a Participant under this Plan to receive the equivalent value (in cash or Shares) of dividends paid on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2.19</w:t>
      </w:r>
      <w:r>
        <w:rPr>
          <w:rFonts w:ascii="Times New Roman" w:hAnsi="Times New Roman"/>
          <w:sz w:val="20"/>
        </w:rPr>
        <w:t xml:space="preserve"> “</w:t>
      </w:r>
      <w:r>
        <w:rPr>
          <w:rFonts w:ascii="Times New Roman" w:hAnsi="Times New Roman"/>
          <w:b/>
          <w:sz w:val="20"/>
          <w:u w:val="single"/>
        </w:rPr>
        <w:t>Effective Date</w:t>
      </w:r>
      <w:r>
        <w:rPr>
          <w:rFonts w:ascii="Times New Roman" w:hAnsi="Times New Roman"/>
          <w:sz w:val="20"/>
        </w:rPr>
        <w:t xml:space="preserve">” means the effective date of this Plan as defined in Article XIV. </w:t>
      </w:r>
    </w:p>
    <w:p>
      <w:pPr>
        <w:pStyle w:val="TextBody"/>
        <w:bidi w:val="0"/>
        <w:spacing w:before="240" w:after="0"/>
        <w:jc w:val="left"/>
        <w:rPr>
          <w:rFonts w:ascii="Times New Roman" w:hAnsi="Times New Roman"/>
          <w:sz w:val="20"/>
        </w:rPr>
      </w:pPr>
      <w:r>
        <w:rPr>
          <w:rFonts w:ascii="Times New Roman" w:hAnsi="Times New Roman"/>
          <w:b/>
          <w:sz w:val="20"/>
        </w:rPr>
        <w:t>2.20</w:t>
      </w:r>
      <w:r>
        <w:rPr>
          <w:rFonts w:ascii="Times New Roman" w:hAnsi="Times New Roman"/>
          <w:sz w:val="20"/>
        </w:rPr>
        <w:t xml:space="preserve"> “</w:t>
      </w:r>
      <w:r>
        <w:rPr>
          <w:rFonts w:ascii="Times New Roman" w:hAnsi="Times New Roman"/>
          <w:b/>
          <w:sz w:val="20"/>
          <w:u w:val="single"/>
        </w:rPr>
        <w:t>Eligible Employee</w:t>
      </w:r>
      <w:r>
        <w:rPr>
          <w:rFonts w:ascii="Times New Roman" w:hAnsi="Times New Roman"/>
          <w:sz w:val="20"/>
        </w:rPr>
        <w:t xml:space="preserve">” means each employee of the Company or any of its Affiliates. An employee on a leave of absence may be an Eligible Employee. </w:t>
      </w:r>
    </w:p>
    <w:p>
      <w:pPr>
        <w:pStyle w:val="TextBody"/>
        <w:bidi w:val="0"/>
        <w:spacing w:before="240" w:after="0"/>
        <w:jc w:val="left"/>
        <w:rPr>
          <w:rFonts w:ascii="Times New Roman" w:hAnsi="Times New Roman"/>
          <w:sz w:val="20"/>
        </w:rPr>
      </w:pPr>
      <w:r>
        <w:rPr>
          <w:rFonts w:ascii="Times New Roman" w:hAnsi="Times New Roman"/>
          <w:b/>
          <w:sz w:val="20"/>
        </w:rPr>
        <w:t>2.21</w:t>
      </w:r>
      <w:r>
        <w:rPr>
          <w:rFonts w:ascii="Times New Roman" w:hAnsi="Times New Roman"/>
          <w:sz w:val="20"/>
        </w:rPr>
        <w:t xml:space="preserve"> “</w:t>
      </w:r>
      <w:r>
        <w:rPr>
          <w:rFonts w:ascii="Times New Roman" w:hAnsi="Times New Roman"/>
          <w:b/>
          <w:sz w:val="20"/>
          <w:u w:val="single"/>
        </w:rPr>
        <w:t>Eligible Individual</w:t>
      </w:r>
      <w:r>
        <w:rPr>
          <w:rFonts w:ascii="Times New Roman" w:hAnsi="Times New Roman"/>
          <w:sz w:val="20"/>
        </w:rPr>
        <w:t xml:space="preserve">” means an Eligible Employee, Non-Employee Director, or Consultant who is designated by the Committee in its discretion as eligible to receive Awards subject to the terms and conditions set forth herein. </w:t>
      </w:r>
    </w:p>
    <w:p>
      <w:pPr>
        <w:pStyle w:val="TextBody"/>
        <w:bidi w:val="0"/>
        <w:spacing w:before="240" w:after="0"/>
        <w:jc w:val="left"/>
        <w:rPr>
          <w:rFonts w:ascii="Times New Roman" w:hAnsi="Times New Roman"/>
          <w:sz w:val="20"/>
        </w:rPr>
      </w:pPr>
      <w:r>
        <w:rPr>
          <w:rFonts w:ascii="Times New Roman" w:hAnsi="Times New Roman"/>
          <w:b/>
          <w:sz w:val="20"/>
        </w:rPr>
        <w:t>2.22</w:t>
      </w:r>
      <w:r>
        <w:rPr>
          <w:rFonts w:ascii="Times New Roman" w:hAnsi="Times New Roman"/>
          <w:sz w:val="20"/>
        </w:rPr>
        <w:t xml:space="preserve"> “</w:t>
      </w:r>
      <w:r>
        <w:rPr>
          <w:rFonts w:ascii="Times New Roman" w:hAnsi="Times New Roman"/>
          <w:b/>
          <w:sz w:val="20"/>
          <w:u w:val="single"/>
        </w:rPr>
        <w:t>Exchange Act</w:t>
      </w:r>
      <w:r>
        <w:rPr>
          <w:rFonts w:ascii="Times New Roman" w:hAnsi="Times New Roman"/>
          <w:sz w:val="20"/>
        </w:rPr>
        <w:t xml:space="preserve">” means the Securities Exchange Act of 1934, as amended from time to time. Reference to a specific section of the Exchange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2.23</w:t>
      </w:r>
      <w:r>
        <w:rPr>
          <w:rFonts w:ascii="Times New Roman" w:hAnsi="Times New Roman"/>
          <w:sz w:val="20"/>
        </w:rPr>
        <w:t xml:space="preserve"> “</w:t>
      </w:r>
      <w:r>
        <w:rPr>
          <w:rFonts w:ascii="Times New Roman" w:hAnsi="Times New Roman"/>
          <w:b/>
          <w:sz w:val="20"/>
          <w:u w:val="single"/>
        </w:rPr>
        <w:t>Fair Market Value</w:t>
      </w:r>
      <w:r>
        <w:rPr>
          <w:rFonts w:ascii="Times New Roman" w:hAnsi="Times New Roman"/>
          <w:sz w:val="20"/>
        </w:rPr>
        <w:t xml:space="preserve">” means, for purposes of this Plan, unless otherwise required by any applicable provision of the Code or any regulations issued thereunder, as of any date and except as provided below, the last sales price reported for the Common Stock on the applicable date: (a) as reported on the principal national securities exchange in the United States on which it is then traded, listed or otherwise reported or quoted or (b) if the Common Stock is not traded, listed, or otherwise reported or quoted, the Committee shall determine in good faith the Fair Market Value in whatever manner it considers appropriate, taking into account the requirements of Section 409A of the Code. For purposes of the grant of any Award, the applicable date shall be the trading day immediately prior to the date on which the Award is granted. For purposes of the exercise of any Award, the applicable date shall be the date a notice of exercise is received by the Committee or, if not a date on which the applicable market is open, the next day that it is open. Notwithstanding the foregoing, with respect to any Award granted on the pricing date of the Company’s initial public offering, the Fair Market Value shall mean the initial public offering price of a Share as set forth in the Company’s final prospectus relating to its initial public offering filed with the Securities and Exchange Commission. </w:t>
      </w:r>
    </w:p>
    <w:p>
      <w:pPr>
        <w:pStyle w:val="TextBody"/>
        <w:bidi w:val="0"/>
        <w:spacing w:before="240" w:after="0"/>
        <w:jc w:val="left"/>
        <w:rPr>
          <w:rFonts w:ascii="Times New Roman" w:hAnsi="Times New Roman"/>
          <w:sz w:val="20"/>
        </w:rPr>
      </w:pPr>
      <w:r>
        <w:rPr>
          <w:rFonts w:ascii="Times New Roman" w:hAnsi="Times New Roman"/>
          <w:b/>
          <w:sz w:val="20"/>
        </w:rPr>
        <w:t>2.24</w:t>
      </w:r>
      <w:r>
        <w:rPr>
          <w:rFonts w:ascii="Times New Roman" w:hAnsi="Times New Roman"/>
          <w:sz w:val="20"/>
        </w:rPr>
        <w:t xml:space="preserve"> “</w:t>
      </w:r>
      <w:r>
        <w:rPr>
          <w:rFonts w:ascii="Times New Roman" w:hAnsi="Times New Roman"/>
          <w:b/>
          <w:sz w:val="20"/>
          <w:u w:val="single"/>
        </w:rPr>
        <w:t>Family Member</w:t>
      </w:r>
      <w:r>
        <w:rPr>
          <w:rFonts w:ascii="Times New Roman" w:hAnsi="Times New Roman"/>
          <w:sz w:val="20"/>
        </w:rPr>
        <w:t xml:space="preserve">” means “family member” as defined in Section A.1.(a)(5) of the general instructions of Form S-8. </w:t>
      </w:r>
    </w:p>
    <w:p>
      <w:pPr>
        <w:pStyle w:val="TextBody"/>
        <w:bidi w:val="0"/>
        <w:spacing w:before="240" w:after="0"/>
        <w:jc w:val="left"/>
        <w:rPr>
          <w:rFonts w:ascii="Times New Roman" w:hAnsi="Times New Roman"/>
          <w:sz w:val="20"/>
        </w:rPr>
      </w:pPr>
      <w:r>
        <w:rPr>
          <w:rFonts w:ascii="Times New Roman" w:hAnsi="Times New Roman"/>
          <w:b/>
          <w:sz w:val="20"/>
        </w:rPr>
        <w:t>2.25</w:t>
      </w:r>
      <w:r>
        <w:rPr>
          <w:rFonts w:ascii="Times New Roman" w:hAnsi="Times New Roman"/>
          <w:sz w:val="20"/>
        </w:rPr>
        <w:t xml:space="preserve"> “</w:t>
      </w:r>
      <w:r>
        <w:rPr>
          <w:rFonts w:ascii="Times New Roman" w:hAnsi="Times New Roman"/>
          <w:b/>
          <w:sz w:val="20"/>
          <w:u w:val="single"/>
        </w:rPr>
        <w:t>Incentive Stock Option</w:t>
      </w:r>
      <w:r>
        <w:rPr>
          <w:rFonts w:ascii="Times New Roman" w:hAnsi="Times New Roman"/>
          <w:sz w:val="20"/>
        </w:rPr>
        <w:t xml:space="preserve">” means any Stock Option granted to an Eligible Employee who is an employee of the Company, its Parents or its Subsidiaries under this Plan and that is intended to be, and is designated as, an “Incentive Stock Option” within the meaning of Section 422 of the Code. </w:t>
      </w:r>
    </w:p>
    <w:p>
      <w:pPr>
        <w:pStyle w:val="TextBody"/>
        <w:bidi w:val="0"/>
        <w:spacing w:before="240" w:after="0"/>
        <w:jc w:val="left"/>
        <w:rPr>
          <w:rFonts w:ascii="Times New Roman" w:hAnsi="Times New Roman"/>
          <w:sz w:val="20"/>
        </w:rPr>
      </w:pPr>
      <w:r>
        <w:rPr>
          <w:rFonts w:ascii="Times New Roman" w:hAnsi="Times New Roman"/>
          <w:b/>
          <w:sz w:val="20"/>
        </w:rPr>
        <w:t>2.26</w:t>
      </w:r>
      <w:r>
        <w:rPr>
          <w:rFonts w:ascii="Times New Roman" w:hAnsi="Times New Roman"/>
          <w:sz w:val="20"/>
        </w:rPr>
        <w:t xml:space="preserve"> “</w:t>
      </w:r>
      <w:r>
        <w:rPr>
          <w:rFonts w:ascii="Times New Roman" w:hAnsi="Times New Roman"/>
          <w:b/>
          <w:sz w:val="20"/>
          <w:u w:val="single"/>
        </w:rPr>
        <w:t>Non-Employee Director</w:t>
      </w:r>
      <w:r>
        <w:rPr>
          <w:rFonts w:ascii="Times New Roman" w:hAnsi="Times New Roman"/>
          <w:sz w:val="20"/>
        </w:rPr>
        <w:t xml:space="preserve">” means a director on the Board who is not an employee of the Company. </w:t>
      </w:r>
    </w:p>
    <w:p>
      <w:pPr>
        <w:pStyle w:val="TextBody"/>
        <w:bidi w:val="0"/>
        <w:spacing w:before="240" w:after="0"/>
        <w:jc w:val="left"/>
        <w:rPr>
          <w:rFonts w:ascii="Times New Roman" w:hAnsi="Times New Roman"/>
          <w:sz w:val="20"/>
        </w:rPr>
      </w:pPr>
      <w:r>
        <w:rPr>
          <w:rFonts w:ascii="Times New Roman" w:hAnsi="Times New Roman"/>
          <w:b/>
          <w:sz w:val="20"/>
        </w:rPr>
        <w:t>2.27</w:t>
      </w:r>
      <w:r>
        <w:rPr>
          <w:rFonts w:ascii="Times New Roman" w:hAnsi="Times New Roman"/>
          <w:sz w:val="20"/>
        </w:rPr>
        <w:t xml:space="preserve"> “</w:t>
      </w:r>
      <w:r>
        <w:rPr>
          <w:rFonts w:ascii="Times New Roman" w:hAnsi="Times New Roman"/>
          <w:b/>
          <w:sz w:val="20"/>
          <w:u w:val="single"/>
        </w:rPr>
        <w:t>Non-Qualified Stock Option</w:t>
      </w:r>
      <w:r>
        <w:rPr>
          <w:rFonts w:ascii="Times New Roman" w:hAnsi="Times New Roman"/>
          <w:sz w:val="20"/>
        </w:rPr>
        <w:t xml:space="preserve">” means any Stock Option granted under this Plan that is not an Incentive Stock Option. </w:t>
      </w:r>
    </w:p>
    <w:p>
      <w:pPr>
        <w:pStyle w:val="TextBody"/>
        <w:bidi w:val="0"/>
        <w:spacing w:before="240" w:after="0"/>
        <w:jc w:val="left"/>
        <w:rPr>
          <w:rFonts w:ascii="Times New Roman" w:hAnsi="Times New Roman"/>
          <w:sz w:val="20"/>
        </w:rPr>
      </w:pPr>
      <w:r>
        <w:rPr>
          <w:rFonts w:ascii="Times New Roman" w:hAnsi="Times New Roman"/>
          <w:b/>
          <w:sz w:val="20"/>
        </w:rPr>
        <w:t>2.28</w:t>
      </w:r>
      <w:r>
        <w:rPr>
          <w:rFonts w:ascii="Times New Roman" w:hAnsi="Times New Roman"/>
          <w:sz w:val="20"/>
        </w:rPr>
        <w:t xml:space="preserve"> “</w:t>
      </w:r>
      <w:r>
        <w:rPr>
          <w:rFonts w:ascii="Times New Roman" w:hAnsi="Times New Roman"/>
          <w:b/>
          <w:sz w:val="20"/>
          <w:u w:val="single"/>
        </w:rPr>
        <w:t>Other Stock-Based Award</w:t>
      </w:r>
      <w:r>
        <w:rPr>
          <w:rFonts w:ascii="Times New Roman" w:hAnsi="Times New Roman"/>
          <w:sz w:val="20"/>
        </w:rPr>
        <w:t xml:space="preserve">” means an Award granted under Article IX of this Plan that is valued in whole or in part by reference to, or is payable in or otherwise based on, Shares, but may be settled in the form of Shares or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2.29</w:t>
      </w:r>
      <w:r>
        <w:rPr>
          <w:rFonts w:ascii="Times New Roman" w:hAnsi="Times New Roman"/>
          <w:sz w:val="20"/>
        </w:rPr>
        <w:t xml:space="preserve"> “</w:t>
      </w:r>
      <w:r>
        <w:rPr>
          <w:rFonts w:ascii="Times New Roman" w:hAnsi="Times New Roman"/>
          <w:b/>
          <w:sz w:val="20"/>
          <w:u w:val="single"/>
        </w:rPr>
        <w:t>Parent</w:t>
      </w:r>
      <w:r>
        <w:rPr>
          <w:rFonts w:ascii="Times New Roman" w:hAnsi="Times New Roman"/>
          <w:sz w:val="20"/>
        </w:rPr>
        <w:t xml:space="preserve">” means any parent corporation of the Company within the meaning of Section 424(e) of the Code. </w:t>
      </w:r>
    </w:p>
    <w:p>
      <w:pPr>
        <w:pStyle w:val="TextBody"/>
        <w:bidi w:val="0"/>
        <w:spacing w:before="240" w:after="0"/>
        <w:jc w:val="left"/>
        <w:rPr>
          <w:rFonts w:ascii="Times New Roman" w:hAnsi="Times New Roman"/>
          <w:sz w:val="20"/>
        </w:rPr>
      </w:pPr>
      <w:r>
        <w:rPr>
          <w:rFonts w:ascii="Times New Roman" w:hAnsi="Times New Roman"/>
          <w:b/>
          <w:sz w:val="20"/>
        </w:rPr>
        <w:t>2.30</w:t>
      </w:r>
      <w:r>
        <w:rPr>
          <w:rFonts w:ascii="Times New Roman" w:hAnsi="Times New Roman"/>
          <w:sz w:val="20"/>
        </w:rPr>
        <w:t xml:space="preserve"> “</w:t>
      </w:r>
      <w:r>
        <w:rPr>
          <w:rFonts w:ascii="Times New Roman" w:hAnsi="Times New Roman"/>
          <w:b/>
          <w:sz w:val="20"/>
          <w:u w:val="single"/>
        </w:rPr>
        <w:t>Participant</w:t>
      </w:r>
      <w:r>
        <w:rPr>
          <w:rFonts w:ascii="Times New Roman" w:hAnsi="Times New Roman"/>
          <w:sz w:val="20"/>
        </w:rPr>
        <w:t xml:space="preserve">” means an Eligible Individual to whom an Award has been granted pursuant to this Plan. </w:t>
      </w:r>
    </w:p>
    <w:p>
      <w:pPr>
        <w:pStyle w:val="TextBody"/>
        <w:bidi w:val="0"/>
        <w:spacing w:before="240" w:after="0"/>
        <w:jc w:val="left"/>
        <w:rPr>
          <w:rFonts w:ascii="Times New Roman" w:hAnsi="Times New Roman"/>
          <w:sz w:val="20"/>
        </w:rPr>
      </w:pPr>
      <w:r>
        <w:rPr>
          <w:rFonts w:ascii="Times New Roman" w:hAnsi="Times New Roman"/>
          <w:b/>
          <w:sz w:val="20"/>
        </w:rPr>
        <w:t>2.31</w:t>
      </w:r>
      <w:r>
        <w:rPr>
          <w:rFonts w:ascii="Times New Roman" w:hAnsi="Times New Roman"/>
          <w:sz w:val="20"/>
        </w:rPr>
        <w:t xml:space="preserve"> “</w:t>
      </w:r>
      <w:r>
        <w:rPr>
          <w:rFonts w:ascii="Times New Roman" w:hAnsi="Times New Roman"/>
          <w:b/>
          <w:sz w:val="20"/>
          <w:u w:val="single"/>
        </w:rPr>
        <w:t>Performance Award</w:t>
      </w:r>
      <w:r>
        <w:rPr>
          <w:rFonts w:ascii="Times New Roman" w:hAnsi="Times New Roman"/>
          <w:sz w:val="20"/>
        </w:rPr>
        <w:t xml:space="preserve">” means an Award granted under Article VIII of this Plan. </w:t>
      </w:r>
    </w:p>
    <w:p>
      <w:pPr>
        <w:pStyle w:val="TextBody"/>
        <w:bidi w:val="0"/>
        <w:spacing w:before="240" w:after="0"/>
        <w:jc w:val="left"/>
        <w:rPr>
          <w:rFonts w:ascii="Times New Roman" w:hAnsi="Times New Roman"/>
          <w:sz w:val="20"/>
        </w:rPr>
      </w:pPr>
      <w:r>
        <w:rPr>
          <w:rFonts w:ascii="Times New Roman" w:hAnsi="Times New Roman"/>
          <w:b/>
          <w:sz w:val="20"/>
        </w:rPr>
        <w:t>2.32</w:t>
      </w:r>
      <w:r>
        <w:rPr>
          <w:rFonts w:ascii="Times New Roman" w:hAnsi="Times New Roman"/>
          <w:sz w:val="20"/>
        </w:rPr>
        <w:t xml:space="preserve"> “</w:t>
      </w:r>
      <w:r>
        <w:rPr>
          <w:rFonts w:ascii="Times New Roman" w:hAnsi="Times New Roman"/>
          <w:b/>
          <w:sz w:val="20"/>
          <w:u w:val="single"/>
        </w:rPr>
        <w:t>Performance Goals</w:t>
      </w:r>
      <w:r>
        <w:rPr>
          <w:rFonts w:ascii="Times New Roman" w:hAnsi="Times New Roman"/>
          <w:sz w:val="20"/>
        </w:rPr>
        <w:t xml:space="preserve">” means goals established by the Committee as contingencies for Awards to vest and/or become exercisable or distributable. </w:t>
      </w:r>
    </w:p>
    <w:p>
      <w:pPr>
        <w:pStyle w:val="TextBody"/>
        <w:bidi w:val="0"/>
        <w:spacing w:before="240" w:after="0"/>
        <w:jc w:val="left"/>
        <w:rPr>
          <w:rFonts w:ascii="Times New Roman" w:hAnsi="Times New Roman"/>
          <w:sz w:val="20"/>
        </w:rPr>
      </w:pPr>
      <w:r>
        <w:rPr>
          <w:rFonts w:ascii="Times New Roman" w:hAnsi="Times New Roman"/>
          <w:b/>
          <w:sz w:val="20"/>
        </w:rPr>
        <w:t>2.33</w:t>
      </w:r>
      <w:r>
        <w:rPr>
          <w:rFonts w:ascii="Times New Roman" w:hAnsi="Times New Roman"/>
          <w:sz w:val="20"/>
        </w:rPr>
        <w:t xml:space="preserve"> “</w:t>
      </w:r>
      <w:r>
        <w:rPr>
          <w:rFonts w:ascii="Times New Roman" w:hAnsi="Times New Roman"/>
          <w:b/>
          <w:sz w:val="20"/>
          <w:u w:val="single"/>
        </w:rPr>
        <w:t>Performance Period</w:t>
      </w:r>
      <w:r>
        <w:rPr>
          <w:rFonts w:ascii="Times New Roman" w:hAnsi="Times New Roman"/>
          <w:sz w:val="20"/>
        </w:rPr>
        <w:t xml:space="preserve">” means the designated period during which the Performance Goals must be satisfied with respect to the Award to which the Performance Goals relate. </w:t>
      </w:r>
    </w:p>
    <w:p>
      <w:pPr>
        <w:pStyle w:val="TextBody"/>
        <w:bidi w:val="0"/>
        <w:spacing w:before="240" w:after="0"/>
        <w:jc w:val="left"/>
        <w:rPr>
          <w:rFonts w:ascii="Times New Roman" w:hAnsi="Times New Roman"/>
          <w:sz w:val="20"/>
        </w:rPr>
      </w:pPr>
      <w:r>
        <w:rPr>
          <w:rFonts w:ascii="Times New Roman" w:hAnsi="Times New Roman"/>
          <w:b/>
          <w:sz w:val="20"/>
        </w:rPr>
        <w:t>2.34</w:t>
      </w:r>
      <w:r>
        <w:rPr>
          <w:rFonts w:ascii="Times New Roman" w:hAnsi="Times New Roman"/>
          <w:sz w:val="20"/>
        </w:rPr>
        <w:t xml:space="preserve"> “</w:t>
      </w:r>
      <w:r>
        <w:rPr>
          <w:rFonts w:ascii="Times New Roman" w:hAnsi="Times New Roman"/>
          <w:b/>
          <w:sz w:val="20"/>
          <w:u w:val="single"/>
        </w:rPr>
        <w:t>Person</w:t>
      </w:r>
      <w:r>
        <w:rPr>
          <w:rFonts w:ascii="Times New Roman" w:hAnsi="Times New Roman"/>
          <w:sz w:val="20"/>
        </w:rPr>
        <w:t xml:space="preserve">” means any “person” as such term is used in Sections 13(d) and 14(d) of the Exchange Act. </w:t>
      </w:r>
    </w:p>
    <w:p>
      <w:pPr>
        <w:pStyle w:val="TextBody"/>
        <w:bidi w:val="0"/>
        <w:spacing w:before="240" w:after="0"/>
        <w:jc w:val="left"/>
        <w:rPr>
          <w:rFonts w:ascii="Times New Roman" w:hAnsi="Times New Roman"/>
          <w:sz w:val="20"/>
        </w:rPr>
      </w:pPr>
      <w:r>
        <w:rPr>
          <w:rFonts w:ascii="Times New Roman" w:hAnsi="Times New Roman"/>
          <w:b/>
          <w:sz w:val="20"/>
        </w:rPr>
        <w:t>2.35</w:t>
      </w:r>
      <w:r>
        <w:rPr>
          <w:rFonts w:ascii="Times New Roman" w:hAnsi="Times New Roman"/>
          <w:sz w:val="20"/>
        </w:rPr>
        <w:t xml:space="preserve"> “</w:t>
      </w:r>
      <w:r>
        <w:rPr>
          <w:rFonts w:ascii="Times New Roman" w:hAnsi="Times New Roman"/>
          <w:b/>
          <w:sz w:val="20"/>
          <w:u w:val="single"/>
        </w:rPr>
        <w:t>Restricted Stock</w:t>
      </w:r>
      <w:r>
        <w:rPr>
          <w:rFonts w:ascii="Times New Roman" w:hAnsi="Times New Roman"/>
          <w:sz w:val="20"/>
        </w:rPr>
        <w:t xml:space="preserve">” means an Award of Shares granted under Article VII of this Plan. </w:t>
      </w:r>
    </w:p>
    <w:p>
      <w:pPr>
        <w:pStyle w:val="TextBody"/>
        <w:bidi w:val="0"/>
        <w:spacing w:before="240" w:after="0"/>
        <w:jc w:val="left"/>
        <w:rPr>
          <w:rFonts w:ascii="Times New Roman" w:hAnsi="Times New Roman"/>
          <w:sz w:val="20"/>
        </w:rPr>
      </w:pPr>
      <w:r>
        <w:rPr>
          <w:rFonts w:ascii="Times New Roman" w:hAnsi="Times New Roman"/>
          <w:b/>
          <w:sz w:val="20"/>
        </w:rPr>
        <w:t>2.36</w:t>
      </w:r>
      <w:r>
        <w:rPr>
          <w:rFonts w:ascii="Times New Roman" w:hAnsi="Times New Roman"/>
          <w:sz w:val="20"/>
        </w:rPr>
        <w:t xml:space="preserve"> “</w:t>
      </w:r>
      <w:r>
        <w:rPr>
          <w:rFonts w:ascii="Times New Roman" w:hAnsi="Times New Roman"/>
          <w:b/>
          <w:sz w:val="20"/>
          <w:u w:val="single"/>
        </w:rPr>
        <w:t>Restricted Stock Unit</w:t>
      </w:r>
      <w:r>
        <w:rPr>
          <w:rFonts w:ascii="Times New Roman" w:hAnsi="Times New Roman"/>
          <w:sz w:val="20"/>
        </w:rPr>
        <w:t xml:space="preserve">” means an unfunded, unsecured right to receive, on the applicable settlement date, one Share or an amount in cash or other consideration determined by the Committee to be of equal value as of such settlement date, subject to certain vesting conditions and other restrictions. </w:t>
      </w:r>
    </w:p>
    <w:p>
      <w:pPr>
        <w:pStyle w:val="TextBody"/>
        <w:bidi w:val="0"/>
        <w:spacing w:before="240" w:after="0"/>
        <w:jc w:val="left"/>
        <w:rPr>
          <w:rFonts w:ascii="Times New Roman" w:hAnsi="Times New Roman"/>
          <w:sz w:val="20"/>
        </w:rPr>
      </w:pPr>
      <w:r>
        <w:rPr>
          <w:rFonts w:ascii="Times New Roman" w:hAnsi="Times New Roman"/>
          <w:b/>
          <w:sz w:val="20"/>
        </w:rPr>
        <w:t>2.37</w:t>
      </w:r>
      <w:r>
        <w:rPr>
          <w:rFonts w:ascii="Times New Roman" w:hAnsi="Times New Roman"/>
          <w:sz w:val="20"/>
        </w:rPr>
        <w:t xml:space="preserve"> “</w:t>
      </w:r>
      <w:r>
        <w:rPr>
          <w:rFonts w:ascii="Times New Roman" w:hAnsi="Times New Roman"/>
          <w:b/>
          <w:sz w:val="20"/>
          <w:u w:val="single"/>
        </w:rPr>
        <w:t>Rule 16b-3</w:t>
      </w:r>
      <w:r>
        <w:rPr>
          <w:rFonts w:ascii="Times New Roman" w:hAnsi="Times New Roman"/>
          <w:sz w:val="20"/>
        </w:rPr>
        <w:t xml:space="preserve">” means Rule 16b-3 under Section 16(b) of the Exchange Act as then in effect or any successor provision. </w:t>
      </w:r>
    </w:p>
    <w:p>
      <w:pPr>
        <w:pStyle w:val="TextBody"/>
        <w:bidi w:val="0"/>
        <w:spacing w:before="240" w:after="0"/>
        <w:jc w:val="left"/>
        <w:rPr>
          <w:rFonts w:ascii="Times New Roman" w:hAnsi="Times New Roman"/>
          <w:sz w:val="20"/>
        </w:rPr>
      </w:pPr>
      <w:r>
        <w:rPr>
          <w:rFonts w:ascii="Times New Roman" w:hAnsi="Times New Roman"/>
          <w:b/>
          <w:sz w:val="20"/>
        </w:rPr>
        <w:t>2.38</w:t>
      </w:r>
      <w:r>
        <w:rPr>
          <w:rFonts w:ascii="Times New Roman" w:hAnsi="Times New Roman"/>
          <w:sz w:val="20"/>
        </w:rPr>
        <w:t xml:space="preserve"> “</w:t>
      </w:r>
      <w:r>
        <w:rPr>
          <w:rFonts w:ascii="Times New Roman" w:hAnsi="Times New Roman"/>
          <w:b/>
          <w:sz w:val="20"/>
          <w:u w:val="single"/>
        </w:rPr>
        <w:t>Section</w:t>
      </w:r>
      <w:r>
        <w:rPr>
          <w:rFonts w:ascii="Times New Roman" w:hAnsi="Times New Roman"/>
          <w:sz w:val="20"/>
          <w:u w:val="single"/>
        </w:rPr>
        <w:t> </w:t>
      </w:r>
      <w:r>
        <w:rPr>
          <w:rFonts w:ascii="Times New Roman" w:hAnsi="Times New Roman"/>
          <w:b/>
          <w:sz w:val="20"/>
          <w:u w:val="single"/>
        </w:rPr>
        <w:t>409A of the Code</w:t>
      </w:r>
      <w:r>
        <w:rPr>
          <w:rFonts w:ascii="Times New Roman" w:hAnsi="Times New Roman"/>
          <w:sz w:val="20"/>
        </w:rPr>
        <w:t xml:space="preserve">” means the nonqualified deferred compensation rules under Section 409A of the Code and any applicable treasury regulations and other official guidance thereunder. </w:t>
      </w:r>
    </w:p>
    <w:p>
      <w:pPr>
        <w:pStyle w:val="TextBody"/>
        <w:bidi w:val="0"/>
        <w:spacing w:before="240" w:after="0"/>
        <w:jc w:val="left"/>
        <w:rPr>
          <w:rFonts w:ascii="Times New Roman" w:hAnsi="Times New Roman"/>
          <w:sz w:val="20"/>
        </w:rPr>
      </w:pPr>
      <w:r>
        <w:rPr>
          <w:rFonts w:ascii="Times New Roman" w:hAnsi="Times New Roman"/>
          <w:b/>
          <w:sz w:val="20"/>
        </w:rPr>
        <w:t>2.39</w:t>
      </w:r>
      <w:r>
        <w:rPr>
          <w:rFonts w:ascii="Times New Roman" w:hAnsi="Times New Roman"/>
          <w:sz w:val="20"/>
        </w:rPr>
        <w:t xml:space="preserve"> “</w:t>
      </w:r>
      <w:r>
        <w:rPr>
          <w:rFonts w:ascii="Times New Roman" w:hAnsi="Times New Roman"/>
          <w:b/>
          <w:sz w:val="20"/>
          <w:u w:val="single"/>
        </w:rPr>
        <w:t>Securities Act</w:t>
      </w:r>
      <w:r>
        <w:rPr>
          <w:rFonts w:ascii="Times New Roman" w:hAnsi="Times New Roman"/>
          <w:sz w:val="20"/>
        </w:rPr>
        <w:t xml:space="preserve">” means the Securities Act of 1933, as amended, and all rules and regulations promulgated thereunder. Reference to a specific section of the Securities Act or regulation thereunder shall include such section or regulation, any valid regulation or interpretation promulgated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b/>
          <w:sz w:val="20"/>
        </w:rPr>
        <w:t>2.40</w:t>
      </w:r>
      <w:r>
        <w:rPr>
          <w:rFonts w:ascii="Times New Roman" w:hAnsi="Times New Roman"/>
          <w:sz w:val="20"/>
        </w:rPr>
        <w:t xml:space="preserve"> “</w:t>
      </w:r>
      <w:r>
        <w:rPr>
          <w:rFonts w:ascii="Times New Roman" w:hAnsi="Times New Roman"/>
          <w:b/>
          <w:sz w:val="20"/>
          <w:u w:val="single"/>
        </w:rPr>
        <w:t>Shares</w:t>
      </w:r>
      <w:r>
        <w:rPr>
          <w:rFonts w:ascii="Times New Roman" w:hAnsi="Times New Roman"/>
          <w:sz w:val="20"/>
        </w:rPr>
        <w:t xml:space="preserve">” means shares of Common Stock. </w:t>
      </w:r>
    </w:p>
    <w:p>
      <w:pPr>
        <w:pStyle w:val="TextBody"/>
        <w:bidi w:val="0"/>
        <w:spacing w:before="240" w:after="0"/>
        <w:jc w:val="left"/>
        <w:rPr>
          <w:rFonts w:ascii="Times New Roman" w:hAnsi="Times New Roman"/>
          <w:sz w:val="20"/>
        </w:rPr>
      </w:pPr>
      <w:r>
        <w:rPr>
          <w:rFonts w:ascii="Times New Roman" w:hAnsi="Times New Roman"/>
          <w:b/>
          <w:sz w:val="20"/>
        </w:rPr>
        <w:t>2.41</w:t>
      </w:r>
      <w:r>
        <w:rPr>
          <w:rFonts w:ascii="Times New Roman" w:hAnsi="Times New Roman"/>
          <w:sz w:val="20"/>
        </w:rPr>
        <w:t xml:space="preserve"> “</w:t>
      </w:r>
      <w:r>
        <w:rPr>
          <w:rFonts w:ascii="Times New Roman" w:hAnsi="Times New Roman"/>
          <w:b/>
          <w:sz w:val="20"/>
          <w:u w:val="single"/>
        </w:rPr>
        <w:t>Stock Appreciation Right</w:t>
      </w:r>
      <w:r>
        <w:rPr>
          <w:rFonts w:ascii="Times New Roman" w:hAnsi="Times New Roman"/>
          <w:sz w:val="20"/>
        </w:rPr>
        <w:t xml:space="preserve">” means a stock appreciation right granted under Article VI of this Plan. </w:t>
      </w:r>
    </w:p>
    <w:p>
      <w:pPr>
        <w:pStyle w:val="TextBody"/>
        <w:bidi w:val="0"/>
        <w:spacing w:before="240" w:after="0"/>
        <w:jc w:val="left"/>
        <w:rPr>
          <w:rFonts w:ascii="Times New Roman" w:hAnsi="Times New Roman"/>
          <w:sz w:val="20"/>
        </w:rPr>
      </w:pPr>
      <w:r>
        <w:rPr>
          <w:rFonts w:ascii="Times New Roman" w:hAnsi="Times New Roman"/>
          <w:b/>
          <w:sz w:val="20"/>
        </w:rPr>
        <w:t>2.42</w:t>
      </w:r>
      <w:r>
        <w:rPr>
          <w:rFonts w:ascii="Times New Roman" w:hAnsi="Times New Roman"/>
          <w:sz w:val="20"/>
        </w:rPr>
        <w:t xml:space="preserve"> “</w:t>
      </w:r>
      <w:r>
        <w:rPr>
          <w:rFonts w:ascii="Times New Roman" w:hAnsi="Times New Roman"/>
          <w:b/>
          <w:sz w:val="20"/>
          <w:u w:val="single"/>
        </w:rPr>
        <w:t>Stock Option</w:t>
      </w:r>
      <w:r>
        <w:rPr>
          <w:rFonts w:ascii="Times New Roman" w:hAnsi="Times New Roman"/>
          <w:sz w:val="20"/>
        </w:rPr>
        <w:t>” or “</w:t>
      </w:r>
      <w:r>
        <w:rPr>
          <w:rFonts w:ascii="Times New Roman" w:hAnsi="Times New Roman"/>
          <w:b/>
          <w:sz w:val="20"/>
          <w:u w:val="single"/>
        </w:rPr>
        <w:t>Option</w:t>
      </w:r>
      <w:r>
        <w:rPr>
          <w:rFonts w:ascii="Times New Roman" w:hAnsi="Times New Roman"/>
          <w:sz w:val="20"/>
        </w:rPr>
        <w:t xml:space="preserve">” means any option to purchase Shares granted pursuant to Article VI of this Plan. </w:t>
      </w:r>
    </w:p>
    <w:p>
      <w:pPr>
        <w:pStyle w:val="TextBody"/>
        <w:bidi w:val="0"/>
        <w:spacing w:before="240" w:after="0"/>
        <w:jc w:val="left"/>
        <w:rPr>
          <w:rFonts w:ascii="Times New Roman" w:hAnsi="Times New Roman"/>
          <w:sz w:val="20"/>
        </w:rPr>
      </w:pPr>
      <w:r>
        <w:rPr>
          <w:rFonts w:ascii="Times New Roman" w:hAnsi="Times New Roman"/>
          <w:b/>
          <w:sz w:val="20"/>
        </w:rPr>
        <w:t>2.43</w:t>
      </w:r>
      <w:r>
        <w:rPr>
          <w:rFonts w:ascii="Times New Roman" w:hAnsi="Times New Roman"/>
          <w:sz w:val="20"/>
        </w:rPr>
        <w:t xml:space="preserve"> “</w:t>
      </w:r>
      <w:r>
        <w:rPr>
          <w:rFonts w:ascii="Times New Roman" w:hAnsi="Times New Roman"/>
          <w:b/>
          <w:sz w:val="20"/>
          <w:u w:val="single"/>
        </w:rPr>
        <w:t>Subsidiary</w:t>
      </w:r>
      <w:r>
        <w:rPr>
          <w:rFonts w:ascii="Times New Roman" w:hAnsi="Times New Roman"/>
          <w:sz w:val="20"/>
        </w:rPr>
        <w:t xml:space="preserve">” means any subsidiary corporation of the Company within the meaning of Section 424(f)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2.44</w:t>
      </w:r>
      <w:r>
        <w:rPr>
          <w:rFonts w:ascii="Times New Roman" w:hAnsi="Times New Roman"/>
          <w:sz w:val="20"/>
        </w:rPr>
        <w:t xml:space="preserve"> “</w:t>
      </w:r>
      <w:r>
        <w:rPr>
          <w:rFonts w:ascii="Times New Roman" w:hAnsi="Times New Roman"/>
          <w:b/>
          <w:sz w:val="20"/>
          <w:u w:val="single"/>
        </w:rPr>
        <w:t>Ten Percent Stockholder</w:t>
      </w:r>
      <w:r>
        <w:rPr>
          <w:rFonts w:ascii="Times New Roman" w:hAnsi="Times New Roman"/>
          <w:sz w:val="20"/>
        </w:rPr>
        <w:t xml:space="preserve">” means a Person owning stock representing more than ten percent (10%) of the total combined voting power of all classes of stock of the Company, its Parent or its Subsidiaries. </w:t>
      </w:r>
    </w:p>
    <w:p>
      <w:pPr>
        <w:pStyle w:val="TextBody"/>
        <w:bidi w:val="0"/>
        <w:spacing w:before="240" w:after="0"/>
        <w:jc w:val="left"/>
        <w:rPr>
          <w:rFonts w:ascii="Times New Roman" w:hAnsi="Times New Roman"/>
          <w:sz w:val="20"/>
        </w:rPr>
      </w:pPr>
      <w:r>
        <w:rPr>
          <w:rFonts w:ascii="Times New Roman" w:hAnsi="Times New Roman"/>
          <w:b/>
          <w:sz w:val="20"/>
        </w:rPr>
        <w:t>2.45</w:t>
      </w:r>
      <w:r>
        <w:rPr>
          <w:rFonts w:ascii="Times New Roman" w:hAnsi="Times New Roman"/>
          <w:sz w:val="20"/>
        </w:rPr>
        <w:t xml:space="preserve"> “</w:t>
      </w:r>
      <w:r>
        <w:rPr>
          <w:rFonts w:ascii="Times New Roman" w:hAnsi="Times New Roman"/>
          <w:b/>
          <w:sz w:val="20"/>
          <w:u w:val="single"/>
        </w:rPr>
        <w:t>Termination of Service</w:t>
      </w:r>
      <w:r>
        <w:rPr>
          <w:rFonts w:ascii="Times New Roman" w:hAnsi="Times New Roman"/>
          <w:sz w:val="20"/>
        </w:rPr>
        <w:t xml:space="preserve">” means the termination of the applicable Participant’s employment with, or performance of services for, the Company and its Affiliates. Unless otherwise determined by the Committee, (a) if a Participant’s employment or services with the Company and its Affiliates terminates but such Participant continues to provide services to the Company and its Affiliates in a non-employee capacity, such change in status shall not be deemed a Termination of Service with the Company and its Affiliates and (b) a Participant employed by, or performing services for an Affiliate that ceases to be an Affiliate shall also be deemed to have incurred a Termination of Service provided the Participant does not immediately thereafter become an employee of the Company or another Affiliate. Notwithstanding the foregoing provisions of this definition, with respect to any Award that constitutes a “nonqualified deferred compensation plan” within the meaning of Section 409A of the Code, a Participant shall not be considered to have experienced a “Termination of Service” unless the Participant has experienced a “separation from service” within the meaning of Section 409A of the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ADMINISTRATION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u w:val="single"/>
        </w:rPr>
        <w:t>Authority of the Committee</w:t>
      </w:r>
      <w:r>
        <w:rPr>
          <w:rFonts w:ascii="Times New Roman" w:hAnsi="Times New Roman"/>
          <w:sz w:val="20"/>
        </w:rPr>
        <w:t xml:space="preserve">. This Plan shall be administered by the Committee. Subject to the terms of this Plan and Applicable Law, the Committee shall have full authority to grant Awards to Eligible Individuals under this Plan. In particular, the Committee shall have the authority to: </w:t>
      </w:r>
    </w:p>
    <w:p>
      <w:pPr>
        <w:pStyle w:val="TextBody"/>
        <w:bidi w:val="0"/>
        <w:spacing w:before="240" w:after="0"/>
        <w:jc w:val="left"/>
        <w:rPr>
          <w:rFonts w:ascii="Times New Roman" w:hAnsi="Times New Roman"/>
          <w:sz w:val="20"/>
        </w:rPr>
      </w:pPr>
      <w:r>
        <w:rPr>
          <w:rFonts w:ascii="Times New Roman" w:hAnsi="Times New Roman"/>
          <w:sz w:val="20"/>
        </w:rPr>
        <w:t xml:space="preserve">(a) determine whether and to what extent Awards, or any combination thereof, are to be granted hereunder to one or more Eligible Individuals; </w:t>
      </w:r>
    </w:p>
    <w:p>
      <w:pPr>
        <w:pStyle w:val="TextBody"/>
        <w:bidi w:val="0"/>
        <w:spacing w:before="240" w:after="0"/>
        <w:jc w:val="left"/>
        <w:rPr>
          <w:rFonts w:ascii="Times New Roman" w:hAnsi="Times New Roman"/>
          <w:sz w:val="20"/>
        </w:rPr>
      </w:pPr>
      <w:r>
        <w:rPr>
          <w:rFonts w:ascii="Times New Roman" w:hAnsi="Times New Roman"/>
          <w:sz w:val="20"/>
        </w:rPr>
        <w:t xml:space="preserve">(b) determine the number of Shares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(c) determine the terms and conditions, not inconsistent with the terms of this Plan, of any Award granted hereunder (including, but not limited to, the exercise or purchase price (if any), any restriction or limitation, any vesting schedule or acceleration thereof, or any forfeiture restrictions or waiver thereof, regarding any Award and the Shares, if any, relating thereto, based on such factors, if any, as the Committee shall determine,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determine the amount of cash to be covered by each Award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determine whether, to what extent, and under what circumstances grants of Options and other Awards under this Plan are to operate on a tandem basis and/or in conjunction with or apart from other awards made by the Company outside of this Plan; </w:t>
      </w:r>
    </w:p>
    <w:p>
      <w:pPr>
        <w:pStyle w:val="TextBody"/>
        <w:bidi w:val="0"/>
        <w:spacing w:before="240" w:after="0"/>
        <w:jc w:val="left"/>
        <w:rPr>
          <w:rFonts w:ascii="Times New Roman" w:hAnsi="Times New Roman"/>
          <w:sz w:val="20"/>
        </w:rPr>
      </w:pPr>
      <w:r>
        <w:rPr>
          <w:rFonts w:ascii="Times New Roman" w:hAnsi="Times New Roman"/>
          <w:sz w:val="20"/>
        </w:rPr>
        <w:t xml:space="preserve">(f) determine whether and under what circumstances an Award may be settled in cash, Shares, other property, or a combination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determine whether, to what extent and under what circumstances cash, Shares, or other property and other amounts payable with respect to an Award under this Plan shall be deferred either automatically or at the election of the Participant; </w:t>
      </w:r>
    </w:p>
    <w:p>
      <w:pPr>
        <w:pStyle w:val="TextBody"/>
        <w:bidi w:val="0"/>
        <w:spacing w:before="240" w:after="0"/>
        <w:jc w:val="left"/>
        <w:rPr>
          <w:rFonts w:ascii="Times New Roman" w:hAnsi="Times New Roman"/>
          <w:sz w:val="20"/>
        </w:rPr>
      </w:pPr>
      <w:r>
        <w:rPr>
          <w:rFonts w:ascii="Times New Roman" w:hAnsi="Times New Roman"/>
          <w:sz w:val="20"/>
        </w:rPr>
        <w:t xml:space="preserve">(h) modify, waive, amend, or adjust the terms and conditions of any Award, at any time or from time to time, including but not limited to Performance Goals; </w:t>
      </w:r>
    </w:p>
    <w:p>
      <w:pPr>
        <w:pStyle w:val="TextBody"/>
        <w:bidi w:val="0"/>
        <w:spacing w:before="240" w:after="0"/>
        <w:jc w:val="left"/>
        <w:rPr>
          <w:rFonts w:ascii="Times New Roman" w:hAnsi="Times New Roman"/>
          <w:sz w:val="20"/>
        </w:rPr>
      </w:pPr>
      <w:r>
        <w:rPr>
          <w:rFonts w:ascii="Times New Roman" w:hAnsi="Times New Roman"/>
          <w:sz w:val="20"/>
        </w:rPr>
        <w:t xml:space="preserve">(i) determine whether a Stock Option is an Incentive Stock Option or Non-Qualified Stock Option; </w:t>
      </w:r>
    </w:p>
    <w:p>
      <w:pPr>
        <w:pStyle w:val="TextBody"/>
        <w:bidi w:val="0"/>
        <w:spacing w:before="240" w:after="0"/>
        <w:jc w:val="left"/>
        <w:rPr>
          <w:rFonts w:ascii="Times New Roman" w:hAnsi="Times New Roman"/>
          <w:sz w:val="20"/>
        </w:rPr>
      </w:pPr>
      <w:r>
        <w:rPr>
          <w:rFonts w:ascii="Times New Roman" w:hAnsi="Times New Roman"/>
          <w:sz w:val="20"/>
        </w:rPr>
        <w:t xml:space="preserve">(j) determine whether to require a Participant, as a condition of the granting of any Award, to not sell or otherwise dispose of Shares acquired pursuant to the exercise or vesting of an Award for a period of time as determined by the Committee, in its sole discretion, following the date of the acquisition of such Award or Shares; </w:t>
      </w:r>
    </w:p>
    <w:p>
      <w:pPr>
        <w:pStyle w:val="TextBody"/>
        <w:bidi w:val="0"/>
        <w:spacing w:before="240" w:after="0"/>
        <w:jc w:val="left"/>
        <w:rPr>
          <w:rFonts w:ascii="Times New Roman" w:hAnsi="Times New Roman"/>
          <w:sz w:val="20"/>
        </w:rPr>
      </w:pPr>
      <w:r>
        <w:rPr>
          <w:rFonts w:ascii="Times New Roman" w:hAnsi="Times New Roman"/>
          <w:sz w:val="20"/>
        </w:rPr>
        <w:t xml:space="preserve">(k) modify, extend, or renew an Award, subject to Article XI and Section 6.8(g) of this Plan; and </w:t>
      </w:r>
    </w:p>
    <w:p>
      <w:pPr>
        <w:pStyle w:val="TextBody"/>
        <w:bidi w:val="0"/>
        <w:spacing w:before="240" w:after="0"/>
        <w:jc w:val="left"/>
        <w:rPr>
          <w:rFonts w:ascii="Times New Roman" w:hAnsi="Times New Roman"/>
          <w:sz w:val="20"/>
        </w:rPr>
      </w:pPr>
      <w:r>
        <w:rPr>
          <w:rFonts w:ascii="Times New Roman" w:hAnsi="Times New Roman"/>
          <w:sz w:val="20"/>
        </w:rPr>
        <w:t xml:space="preserve">(l) determine how the Disability, death, retirement, authorized leave of absence or any other change or purported change in a Participant’s status affects an Award and the extent to which, and the period during which, the Participant, the Participant’s legal representative, conservator, guardian or beneficiary may exercise rights under the Award, if applicable. </w:t>
      </w:r>
    </w:p>
    <w:p>
      <w:pPr>
        <w:pStyle w:val="TextBody"/>
        <w:bidi w:val="0"/>
        <w:spacing w:before="24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u w:val="single"/>
        </w:rPr>
        <w:t>Guidelines</w:t>
      </w:r>
      <w:r>
        <w:rPr>
          <w:rFonts w:ascii="Times New Roman" w:hAnsi="Times New Roman"/>
          <w:sz w:val="20"/>
        </w:rPr>
        <w:t xml:space="preserve">. Subject to Article XI of this Plan, the Committee shall have the authority to adopt, alter, and repeal such administrative rules, guidelines, and practices governing this Plan and perform all acts, including the delegation of its responsibilities (to the extent permitted by Applicable Law and applicable stock exchange rules), as it shall, from time to time, deem advisable; to construe and interpret the terms and provisions of this Plan and any Award issued under this Plan (and any agreements or sub-plans relating thereto); and to otherwise supervise the administration of this Plan. The Committee may correct any defect, supply any omission, or reconcile any inconsistency in this Plan or in any agreement relating thereto in the manner and to the extent it shall deem necessary to effectuate the purpose and intent of this Plan. The Committee may adopt special rules, sub-plans, guidelines, and provisions for persons who are residing in or employed in, or subject to, the taxes of any domestic or foreign jurisdictions to satisfy or accommodate applicable foreign laws or to qualify for preferred tax treatment of such domestic or foreign jurisdictions.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u w:val="single"/>
        </w:rPr>
        <w:t>Decisions Final</w:t>
      </w:r>
      <w:r>
        <w:rPr>
          <w:rFonts w:ascii="Times New Roman" w:hAnsi="Times New Roman"/>
          <w:sz w:val="20"/>
        </w:rPr>
        <w:t xml:space="preserve">. Any decision, interpretation, or other action made or taken in good faith by or at the direction of the Company, the Board, or the Committee (or any of its members) arising out of or in connection with this Plan shall be within the absolute discretion of all and each of them, as the case may be, and shall be final, binding, and conclusive on the Company and all employees and Participants and their respective heirs, executors, administrators, successors, and assigns.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u w:val="single"/>
        </w:rPr>
        <w:t>Designation of Consultants/Liability; Delegation of Authority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Committee may employ such legal counsel, consultants, and agents as it may deem desirable for the administration of this Plan and may rely upon any opinion received from any such counsel or consultant and any computation received from any such consultant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agent. Expenses incurred by the Committee or the Board in the engagement of any such counsel, consultant, or agent shall be paid by the Company. The Committee, its members, and any person designated pursuant to this Section 3.4 shall not be liable for any action or determination made in good faith with respect to this Plan. To the maximum extent permitted by Applicable Law, no officer of the Company or member or former member of the Committee or of the Board shall be liable for any action or determination made in good faith with respect to this Plan or any Award granted under it. </w:t>
      </w:r>
    </w:p>
    <w:p>
      <w:pPr>
        <w:pStyle w:val="TextBody"/>
        <w:bidi w:val="0"/>
        <w:spacing w:before="240" w:after="0"/>
        <w:jc w:val="left"/>
        <w:rPr>
          <w:rFonts w:ascii="Times New Roman" w:hAnsi="Times New Roman"/>
          <w:sz w:val="20"/>
        </w:rPr>
      </w:pPr>
      <w:r>
        <w:rPr>
          <w:rFonts w:ascii="Times New Roman" w:hAnsi="Times New Roman"/>
          <w:sz w:val="20"/>
        </w:rPr>
        <w:t xml:space="preserve">(b) The Committee may delegate any or all of its powers and duties under this Plan to a subcommittee of directors or to any officer of the Company, including the power to perform administrative functions (including executing agreements or other documents on behalf of the Committee) and grant Awards; </w:t>
      </w:r>
      <w:r>
        <w:rPr>
          <w:rFonts w:ascii="Times New Roman" w:hAnsi="Times New Roman"/>
          <w:sz w:val="20"/>
          <w:u w:val="single"/>
        </w:rPr>
        <w:t>provided</w:t>
      </w:r>
      <w:r>
        <w:rPr>
          <w:rFonts w:ascii="Times New Roman" w:hAnsi="Times New Roman"/>
          <w:sz w:val="20"/>
        </w:rPr>
        <w:t xml:space="preserve">, that such delegation does not (i) violate Applicable Law, or (ii) result in the loss of an exemption under Rule 16b-3(d)(1) for Awards granted to Participants subject to Section 16 of the Exchange Act in respect of the Company. Upon any such delegation, all references in this Plan to the “Committee,” shall be deemed to include any subcommittee or officer of the Company to whom such powers have been delegated by the Committee. Any such delegation shall not limit the right of such subcommittee members or such an officer to receive Awards;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subcommittee members and any such officer may not grant Awards to himself or herself, a member of the Board, or any executive officer of the Company or an Affiliate, or take any action with respect to any Award previously granted to himself or herself, a member of the Board, or any executive officer of the Company or an Affiliate. The Committee may also designate employees or professional advisors who are not executive officers of the Company or members of the Board to assist in administering this Plan,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individuals may not be delegated the authority to grant or modify any Awards that will, or may, be settled in Shares.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u w:val="single"/>
        </w:rPr>
        <w:t>Indemnification</w:t>
      </w:r>
      <w:r>
        <w:rPr>
          <w:rFonts w:ascii="Times New Roman" w:hAnsi="Times New Roman"/>
          <w:sz w:val="20"/>
        </w:rPr>
        <w:t xml:space="preserve">. To the maximum extent permitted by Applicable Law and to the extent not covered by insurance directly insuring such person, each current and former officer or employee of the Company or any of its Affiliates and member or former member of the Committee or the Board shall be indemnified and held harmless by the Company against any cost or expense (including reasonable fees of counsel acceptable to the Committee) or liability (including any sum paid in settlement of a claim with the approval of the Committee), and advanced amounts necessary to pay the foregoing at the earliest time and to the fullest extent permitted, arising out of any act or omission to act in connection with the administration of this Plan, except to the extent arising out of such officer’s, employee’s, member’s, or former member’s own fraud or bad faith. Such indemnification shall be in addition to any right of indemnification that the current or former employee, officer or member may have under Applicable Law or under the by-laws of the Company or any of its Affiliates. Notwithstanding anything else herein, this indemnification will not apply to the actions or determinations made by an individual with regard to Awards granted to such individual under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SHARE LIMITATION </w:t>
      </w:r>
    </w:p>
    <w:p>
      <w:pPr>
        <w:pStyle w:val="TextBody"/>
        <w:bidi w:val="0"/>
        <w:spacing w:before="24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u w:val="single"/>
        </w:rPr>
        <w:t>Shares</w:t>
      </w:r>
      <w:r>
        <w:rPr>
          <w:rFonts w:ascii="Times New Roman" w:hAnsi="Times New Roman"/>
          <w:sz w:val="20"/>
        </w:rPr>
        <w:t xml:space="preserve">. The aggregate number of Shares that may be issued pursuant to this Plan shall not exceed 12,123,039 Shares (subject to any increase or decrease pursuant to this Article IV), which may be either authorized and unissued Shares or Shares held in or acquired for the treasury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Company or both. The number of Shares that may be issued pursuant to this Plan shall be subject to an annual increase on January 1 of each calendar year beginning in 2027, and ending on and including January 1, 2036, equal to the lesser of (a) 5% of the aggregate number of shares of Common Stock and Class B common stock outstanding on December 31 of the immediately preceding calendar year and (b) such smaller number of Shares as is determined by the Board. The aggregate number of Shares that may be issued or used with respect to any Incentive Stock Option shall not exceed 12,123,039 Shares (subject to any increase or decrease pursuant to Section 4.3). Any Award under this Plan settled in cash shall not be counted against the foregoing maximum share limitations. Notwithstanding anything to the contrary contained herein, Shares subject to an Award under this Plan shall again be made available for issuance or delivery under this Plan if such Shares are (i) Shares delivered, withheld or surrendered in payment of the exercise or purchase price of an Award, (ii) Shares delivered, withheld, or surrendered to satisfy any tax withholding obligation or (iii) Shares subject to a stock-settled Award that expires or is canceled, forfeited, or terminated without issuance of the full number of Shares to which the Award related.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u w:val="single"/>
        </w:rPr>
        <w:t>Substitute Awards</w:t>
      </w:r>
      <w:r>
        <w:rPr>
          <w:rFonts w:ascii="Times New Roman" w:hAnsi="Times New Roman"/>
          <w:sz w:val="20"/>
        </w:rPr>
        <w:t>. In connection with an entity’s merger or consolidation with the Company or the Company’s acquisition of an entity’s property or stock, the Committee may grant Awards in substitution for any options or other stock or stock-based awards granted before such merger or consolidation by such entity or its affiliate (“</w:t>
      </w:r>
      <w:r>
        <w:rPr>
          <w:rFonts w:ascii="Times New Roman" w:hAnsi="Times New Roman"/>
          <w:sz w:val="20"/>
          <w:u w:val="single"/>
        </w:rPr>
        <w:t>Substitute Awards</w:t>
      </w:r>
      <w:r>
        <w:rPr>
          <w:rFonts w:ascii="Times New Roman" w:hAnsi="Times New Roman"/>
          <w:sz w:val="20"/>
        </w:rPr>
        <w:t xml:space="preserve">”). Substitute Awards may be granted on such terms as the Committee deems appropriate, notwithstanding limitations on Awards in this Plan. Substitute Awards will not count against the Shares authorized for grant under this Plan (nor shall Shares subject to a Substitute Award be added to the Shares available for Awards under this Plan as provided under Section 4.1 above), except that Shares acquired by exercise of substitute Incentive Stock Options will count against the maximum number of Shares that may be issued pursuant to the exercise of Incentive Stock Options under this Plan, as set forth in Section 4.1 above. Additionally, in the event that a Person acquired by the Company or any Subsidiary or with which the Company or any Subsidiary combines has shares available under a pre-existing plan approved by stockholders and not adopted in contemplation of such acquisition or combination, the shares available for grants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this Plan and shall not reduce the Shares authorized for grant under this Plan (and Shares subject to such Awards shall not be added to the Shares available for Awards under this Plan as provided under Section 4.1 above); provided that Awards using such available shares shall not be made after the date awards or grants could have been made under the terms of the pre-existing plan, absent the acquisition or combination, and shall only be made to individuals who were not Eligible Employees or Non-Employee Directors prior to such acquisition or combination.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u w:val="single"/>
        </w:rPr>
        <w:t>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existence of this Plan and the Awards granted hereunder shall not affect in any way the right or power of the Board or the stockholders of the Company to make or authorize (i) any adjustment, recapitalization, reorganization, or other change in the Company’s capital structure or its business, (ii) any merger or consolidation of the Company or any Affiliate, (iii) any issuance of bonds, debentures, or preferred or prior preference stock ahead of or affecting the Shares, (iv) the dissolution or liquidation of the Company or any Affiliate, (v) any sale or transfer of all or part of the assets or business of the Company or any Affiliate, or (vi) any other corporate act or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Subject to the provisions of Section 10.1: </w:t>
      </w:r>
    </w:p>
    <w:p>
      <w:pPr>
        <w:pStyle w:val="TextBody"/>
        <w:bidi w:val="0"/>
        <w:spacing w:before="240" w:after="0"/>
        <w:jc w:val="left"/>
        <w:rPr>
          <w:rFonts w:ascii="Times New Roman" w:hAnsi="Times New Roman"/>
          <w:sz w:val="20"/>
        </w:rPr>
      </w:pPr>
      <w:r>
        <w:rPr>
          <w:rFonts w:ascii="Times New Roman" w:hAnsi="Times New Roman"/>
          <w:sz w:val="20"/>
        </w:rPr>
        <w:t xml:space="preserve">(i) If the Company at any time subdivides (by any split, recapitalization or otherwise) the outstanding Shares into a greater number of Shares, or combines (by reverse split, combination, or otherwise) its outstanding Shares into a lesser number of Shares, then the respective exercise prices for outstanding Awards that provide for a Participant-elected exercise and the number of Shares covered by outstanding Awards shall be appropriately adjusted by the Committee to prevent dilution or enlargement of the rights granted to, or available for, Participants under this Plan; provided, that the Committee in its sole discretion shall determine whether an adjustment is appropriate. </w:t>
      </w:r>
    </w:p>
    <w:p>
      <w:pPr>
        <w:pStyle w:val="TextBody"/>
        <w:bidi w:val="0"/>
        <w:spacing w:before="240" w:after="0"/>
        <w:jc w:val="left"/>
        <w:rPr>
          <w:rFonts w:ascii="Times New Roman" w:hAnsi="Times New Roman"/>
          <w:sz w:val="20"/>
        </w:rPr>
      </w:pPr>
      <w:r>
        <w:rPr>
          <w:rFonts w:ascii="Times New Roman" w:hAnsi="Times New Roman"/>
          <w:sz w:val="20"/>
        </w:rPr>
        <w:t xml:space="preserve">(ii) Excepting transactions covered by Section 4.3(b)(i), if the Company effects any merger, consolidation, statutory exchange, spin-off, reorganization, sale or transfer of all or substantially all the Company’s assets or business, or other corporate transaction or event in such a manner that the Company’s outstanding Shares are converted into the right to receive (or the holders of Common Stock are entitled to receive in exchange therefor), either immediately or upon liquidation of the Company, securities or other property of the Company or other entity, then, subject to the provisions of Section 10.1, (A) the aggregate number or kind of securities that thereafter may be issued under this Plan, (B) the number or kind of securities or other property (including cash) to be issued pursuant to Awards granted under this Plan (including as a result of the assumption of this Plan and the obligations hereunder by a successor entity, as applicable), or (C) the exercise or purchase price thereof, shall be appropriately adjusted by the Committee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(iii) If there shall occur any change in the capital structure of the Company other than those covered by Section 4.3(b)(i) or 4.3(b)(ii), any conversion, any adjustment, or any issuance of any class of securities convertible or exercisable into, or exercisable for, any class of equity securities of the Company, then the Committee shall adjust any Award and make such other adjustments to this Plan to prevent dilution or enlargement of the rights granted to, or available for, Participants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(iv)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including any securities offering or other similar transaction, for administrative convenience, the Committee may refuse to permit the exercise of any Award for up to sixty (60) days before or after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(v) The Committee may adjust the Performance Goals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public filing.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Any such adjustment determined by the Committee pursuant to this Section 4.3(b) shall be final, binding, and conclusive on the Company and all Participants and their respective heirs, executors, administrators, successors, and permitted assigns. Any adjustment to, or assumption or substitution of, an Award under this Section 4.3(b) shall be intended to comply with the requirements of Section 409A of the Code and Treasury Regulation §1.424-1 (and any amendments thereto), to the extent applicable. Except as expressly provided in this Section 4.3 or in the applicable Award Agreement, a Participant shall have no additional rights under this Plan by reason of any transaction or event described in this Section 4.3. </w:t>
      </w:r>
    </w:p>
    <w:p>
      <w:pPr>
        <w:pStyle w:val="TextBody"/>
        <w:bidi w:val="0"/>
        <w:spacing w:before="24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u w:val="single"/>
        </w:rPr>
        <w:t>Annual Limit on Non-Employee Director Compensation</w:t>
      </w:r>
      <w:r>
        <w:rPr>
          <w:rFonts w:ascii="Times New Roman" w:hAnsi="Times New Roman"/>
          <w:sz w:val="20"/>
        </w:rPr>
        <w:t xml:space="preserve">. In each calendar year during any part of which this Plan is in effect, a Non-Employee Director may not receive Awards for such individual’s service on the Board that, taken together with any cash fees paid to such Non-Employee Director during such calendar year for such individual’s service on the Board, have a value in excess of $750,000 (calculating the value of any such Awards based on the grant date fair value of such Awards for financial reporting purposes); </w:t>
      </w:r>
      <w:r>
        <w:rPr>
          <w:rFonts w:ascii="Times New Roman" w:hAnsi="Times New Roman"/>
          <w:i/>
          <w:sz w:val="20"/>
        </w:rPr>
        <w:t>provided</w:t>
      </w:r>
      <w:r>
        <w:rPr>
          <w:rFonts w:ascii="Times New Roman" w:hAnsi="Times New Roman"/>
          <w:sz w:val="20"/>
        </w:rPr>
        <w:t xml:space="preserve">, that (a) the Committee may make exceptions to this limit, except that the Non-Employee Director receiving such additional compensation may not participate in the decision to award such compensation or in other contemporaneous decisions involving compensation for Non-Employee Directors and (b) for any calendar year in which a Non-Employee Director (i) first commences service on the Board, (ii) serves on a special committee of the Board, or (iii) serves as lead director or non-executive chair of the Board, such limit shall be increased to $1,000,000; </w:t>
      </w:r>
      <w:r>
        <w:rPr>
          <w:rFonts w:ascii="Times New Roman" w:hAnsi="Times New Roman"/>
          <w:i/>
          <w:sz w:val="20"/>
        </w:rPr>
        <w:t>provided, further</w:t>
      </w:r>
      <w:r>
        <w:rPr>
          <w:rFonts w:ascii="Times New Roman" w:hAnsi="Times New Roman"/>
          <w:sz w:val="20"/>
        </w:rPr>
        <w:t xml:space="preserve">, that the limit set forth in this Section 4.4 shall be applied without regard to Awards or other compensation, if any, provided to a Non-Employee Director during any period in which such individual was an employee of the Company or any Affiliate or was otherwise providing services to the Company or to any Affiliate other than in the capacity as a Non-Employee Director.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ELIGIBILITY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u w:val="single"/>
        </w:rPr>
        <w:t>General Eligibility</w:t>
      </w:r>
      <w:r>
        <w:rPr>
          <w:rFonts w:ascii="Times New Roman" w:hAnsi="Times New Roman"/>
          <w:sz w:val="20"/>
        </w:rPr>
        <w:t xml:space="preserve">. All current and prospective Eligible Individuals are eligible to be granted Awards. Eligibility for the grant of Awards and actual participation in this Plan shall be determined by the Committee in its sole discretion. No Eligible Individual will automatically be granted any Award under this Plan.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Incentive Stock Options</w:t>
      </w:r>
      <w:r>
        <w:rPr>
          <w:rFonts w:ascii="Times New Roman" w:hAnsi="Times New Roman"/>
          <w:sz w:val="20"/>
        </w:rPr>
        <w:t xml:space="preserve">. Notwithstanding the foregoing, only Eligible Employees who are employees of the Company, its Parents or its Subsidiaries are eligible to be granted Incentive Stock Options under this Plan. Eligibility for the grant of an Incentive Stock Option and actual participation in this Plan shall be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u w:val="single"/>
        </w:rPr>
        <w:t>General Requirement</w:t>
      </w:r>
      <w:r>
        <w:rPr>
          <w:rFonts w:ascii="Times New Roman" w:hAnsi="Times New Roman"/>
          <w:sz w:val="20"/>
        </w:rPr>
        <w:t xml:space="preserve">. The vesting and exercise of Awards granted to a prospective Eligible Individual are conditioned upon such individual actually becoming an Eligible Employee, Consultant, or Non-Employee Director,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OPTIONS; STOCK APPRECIATION RIGHTS </w:t>
      </w:r>
    </w:p>
    <w:p>
      <w:pPr>
        <w:pStyle w:val="TextBody"/>
        <w:bidi w:val="0"/>
        <w:spacing w:before="24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u w:val="single"/>
        </w:rPr>
        <w:t>General</w:t>
      </w:r>
      <w:r>
        <w:rPr>
          <w:rFonts w:ascii="Times New Roman" w:hAnsi="Times New Roman"/>
          <w:sz w:val="20"/>
        </w:rPr>
        <w:t xml:space="preserve">. Stock Options or Stock Appreciation Rights may be granted alone or in addition to other Awards granted under this Plan. Each Stock Option granted under this Plan shall be of one of two types: (a) an Incentive Stock Option or (b) a Non-Qualified Stock Option. Stock Options and Stock Appreciation Rights granted under this Plan shall be evidenced by an Award Agreement and subject to the terms, conditions and limitations in this Plan, including any limitations applicable to Incentive Stock Options.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u w:val="single"/>
        </w:rPr>
        <w:t>Grants</w:t>
      </w:r>
      <w:r>
        <w:rPr>
          <w:rFonts w:ascii="Times New Roman" w:hAnsi="Times New Roman"/>
          <w:sz w:val="20"/>
        </w:rPr>
        <w:t xml:space="preserve">. The Committee shall have the authority to grant to any Eligible Individual one or more Incentive Stock Options, Non-Qualified Stock Options, and/or Stock Appreciation Rights;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Incentive Stock Options may only be granted to an Eligible Employee who is an employee of the Company, its Parents or its Subsidiaries. To the extent that any Stock Option does not qualify as an Incentive Stock Option (whether because of its provisions or the time or manner of its exercise or otherwise), such Stock Option or the portion thereof which does not so qualify shall constitute a separate Non-Qualified Stock Option.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u w:val="single"/>
        </w:rPr>
        <w:t>Exercise Price</w:t>
      </w:r>
      <w:r>
        <w:rPr>
          <w:rFonts w:ascii="Times New Roman" w:hAnsi="Times New Roman"/>
          <w:sz w:val="20"/>
        </w:rPr>
        <w:t xml:space="preserve">. The exercise price per Share subject to a Stock Option or Stock Appreciation Right shall be determined by the Committee at the time of grant, </w:t>
      </w:r>
      <w:r>
        <w:rPr>
          <w:rFonts w:ascii="Times New Roman" w:hAnsi="Times New Roman"/>
          <w:i/>
          <w:sz w:val="20"/>
        </w:rPr>
        <w:t>provided</w:t>
      </w:r>
      <w:r>
        <w:rPr>
          <w:rFonts w:ascii="Times New Roman" w:hAnsi="Times New Roman"/>
          <w:sz w:val="20"/>
        </w:rPr>
        <w:t xml:space="preserve"> that the per share exercise price of a Stock Option or Stock Appreciation Right shall not be less than 100% (or, in the case of an Incentive Stock Option granted to a Ten Percent Stockholder, 110%) of the Fair Market Value at the time of grant. Notwithstanding the foregoing, in the case of a Stock Option or Stock Appreciation Right that is a Substitute Award, the exercise price per Share for such Stock Option or Stock Appreciation Right may be less than the Fair Market Value on the date of grant; provided, that, such exercise price is determined in a manner consistent with the provisions of Section 409A of the Code and, if applicable, Section 424(a) of the Code.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u w:val="single"/>
        </w:rPr>
        <w:t>Term</w:t>
      </w:r>
      <w:r>
        <w:rPr>
          <w:rFonts w:ascii="Times New Roman" w:hAnsi="Times New Roman"/>
          <w:sz w:val="20"/>
        </w:rPr>
        <w:t xml:space="preserve">. The term of each Stock Option or Stock Appreciation Right shall be fixed by the Committee, </w:t>
      </w:r>
      <w:r>
        <w:rPr>
          <w:rFonts w:ascii="Times New Roman" w:hAnsi="Times New Roman"/>
          <w:i/>
          <w:sz w:val="20"/>
        </w:rPr>
        <w:t>provided</w:t>
      </w:r>
      <w:r>
        <w:rPr>
          <w:rFonts w:ascii="Times New Roman" w:hAnsi="Times New Roman"/>
          <w:sz w:val="20"/>
        </w:rPr>
        <w:t xml:space="preserve"> that no Stock Option or Stock Appreciation Right shall be exercisable more than ten (10) years (or, in the case of an Incentive Stock Option granted to a Ten Percent Stockholder, five (5) years) after the date on which the Stock Option or Stock Appreciation Right, as applicable, is granted.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u w:val="single"/>
        </w:rPr>
        <w:t>Exercisability</w:t>
      </w:r>
      <w:r>
        <w:rPr>
          <w:rFonts w:ascii="Times New Roman" w:hAnsi="Times New Roman"/>
          <w:sz w:val="20"/>
        </w:rPr>
        <w:t xml:space="preserve">. Unless otherwise provided by the Committee in accordance with the provisions of this Section 6.5, Stock Options and Stock Appreciation Rights granted under this Plan shall be exercisable at such time or times and subject to such terms and conditions as shall be determined by the Committee at the time of grant. The Committee may, but shall not be required to, provide for an acceleration of vesting and exercisability upon the occurrence of a specified event. Unless otherwise determined by the Committee, if the exercise of a Non-Qualified Stock Option or Stock Appreciation Right within the permitted time periods is prohibited because such exercise would violate the registration requirements under the Securities Act or any other Applicable Law or the rules of any securities exchange or interdealer quotation system, the Company’s insider trading policy (including any blackout periods) or a “lock-up” agreement entered into in connection with the issuance of securities by the Company, then the expiration of such Non-Qualified Stock Option or Stock Appreciation Right shall be extended until the date that is thirty (30) days after the end of the period during which the exercise of the Non-Qualified Stock Option or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Appreciation Right would be in violation of such registration requirement or other Applicable Law or rules, blackout period or lock-up agreement, as determined by the Committee; </w:t>
      </w:r>
      <w:r>
        <w:rPr>
          <w:rFonts w:ascii="Times New Roman" w:hAnsi="Times New Roman"/>
          <w:i/>
          <w:sz w:val="20"/>
        </w:rPr>
        <w:t>provided, however</w:t>
      </w:r>
      <w:r>
        <w:rPr>
          <w:rFonts w:ascii="Times New Roman" w:hAnsi="Times New Roman"/>
          <w:sz w:val="20"/>
        </w:rPr>
        <w:t xml:space="preserve">, that in no event shall any such extension result in any Non-Qualified Stock Option or Stock Appreciation Right remaining exercisable after the ten (10)-year term of the applicable Non-Qualified Stock Option or Stock Appreciation Right.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u w:val="single"/>
        </w:rPr>
        <w:t>Method of Exercise</w:t>
      </w:r>
      <w:r>
        <w:rPr>
          <w:rFonts w:ascii="Times New Roman" w:hAnsi="Times New Roman"/>
          <w:sz w:val="20"/>
        </w:rPr>
        <w:t xml:space="preserve">. Subject to any applicable waiting period or exercisability provisions under Section 6.5, to the extent vested, Stock Options and Stock Appreciation Rights may be exercised in whole or in part at any time during the term of the applicable Stock Option or Stock Appreciation Right, by giving written notice of exercise (which may be electronic) to the Company specifying the number of Stock Options or Stock Appreciation Rights, as applicable, being exercised. Such notice shall be accompanied by payment in full of the exercise price (which shall equal the product of such number of Shares to be purchased multiplied by the applicable exercise price). The exercise price for the Stock Options may be paid upon such terms and conditions as shall be established by the Committee and set forth in the applicable Award Agreement. Without limiting the foregoing, the Committee may establish payment terms for the exercise of Stock Options pursuant to which the Company may withhold a number of Shares that otherwise would be issued to the Participant in connection with the exercise of the Stock Option having a Fair Market Value on the date of exercise equal to the exercise price, or that permit the Participant to deliver cash or Shares with a Fair Market Value equal to the exercise price on the date of payment, or through a simultaneous sale through a broker of Shares acquired on exercise, all as permitted by Applicable Law. No Shares shall be issued until payment therefor, as provided herein, has been made or provided for. Upon the exercise of a Stock Appreciation Right a Participant shall be entitled to receive, for each right exercised, up to, but no more than, an amount in cash and/or Shares (as chosen by the Committee in its sole discretion) equal in value to the excess of the Fair Market Value of one (1) Share on the date that the right is exercised over the Fair Market Value of one (1) Share on the date that the right was awarded to the Participant.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u w:val="single"/>
        </w:rPr>
        <w:t>Non-Transferability</w:t>
      </w:r>
      <w:r>
        <w:rPr>
          <w:rFonts w:ascii="Times New Roman" w:hAnsi="Times New Roman"/>
          <w:sz w:val="20"/>
        </w:rPr>
        <w:t xml:space="preserve">. No Stock Option or Stock Appreciation Right shall be transferable by the Participant other than by will or by the laws of descent and distribution, and all Stock Options and Stock Appreciation Rights shall be exercisable, during the Participant’s lifetime, only by the Participant. Notwithstanding the foregoing, the Committee may determine, in its sole discretion, at the time of grant or thereafter that a Non-Qualified Stock Option that is otherwise not transferable pursuant to this Section 6.7 is transferable to a Family Member of the Participant in whole or in part and in such circumstances, and under such conditions, as specified by the Committee. A Non-Qualified Stock Option that is transferred to a Family Member pursuant to the preceding sentence (a) may not be subsequently transferred other than by will or by the laws of descent and distribution and (b) remains subject to the terms of this Plan and the applicable Award Agreement. Any Shares acquired upon the exercise of a Non-Qualified Stock Option by a permissible transferee of a Non-Qualified Stock Option or a permissible transferee pursuant to a transfer after the exercise of the Non-Qualified Stock Option shall be subject to the terms of this Plan and the applicable Award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u w:val="single"/>
        </w:rPr>
        <w:t>Termination</w:t>
      </w:r>
      <w:r>
        <w:rPr>
          <w:rFonts w:ascii="Times New Roman" w:hAnsi="Times New Roman"/>
          <w:sz w:val="20"/>
        </w:rPr>
        <w:t xml:space="preserve">. Unless otherwise determined by the Committee at grant or, if no rights of the Participant are reduced, thereafter, subject to the provisions of the applicable Award Agreement and this Plan, upon a Participant’s Termination of Service for any reason, Stock Options and Stock Appreciation Rights may remain exercisable following a Participant’s Termination of Service as follows: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Termination by Death or Disability</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reason of death or Disability, all Stock Options and Stock Appreciation Rights that are held by such Participant that are vested and exercisable at the time of the Participant’s Termination of Service may be exercised by the Participant (or in the case of the Participant’s death, by the legal representative of the Participant’s estate) at any time within a period of one (1) year from the date of such Termination of Service, but in no event beyond the expiration of the stated term of such Stock Options and Stock Appreciation Rights; </w:t>
      </w:r>
      <w:r>
        <w:rPr>
          <w:rFonts w:ascii="Times New Roman" w:hAnsi="Times New Roman"/>
          <w:i/>
          <w:sz w:val="20"/>
        </w:rPr>
        <w:t>provided, however</w:t>
      </w:r>
      <w:r>
        <w:rPr>
          <w:rFonts w:ascii="Times New Roman" w:hAnsi="Times New Roman"/>
          <w:sz w:val="20"/>
        </w:rPr>
        <w:t xml:space="preserve">, that, in the event of a Participant’s Termination of Service by reason of Disability, if the Participant dies within such exercise period, all unexercised Stock Options and Stock Appreciation Rights held by such Participant shall thereafter be exercisable, to the extent to which they were exercisable at the time of death, for a period of one (1) year from the date of such death, but in no event beyond the expiration of the stated term of such Stock Options and/or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Involuntary Termination Without Cause</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by involuntary termination by the Company without Cause, all Stock Options and Stock Appreciation Rights that are held by such Participant that are vested and exercisable at the time of the Participant’s Termination of Service may be exercised by the Participant at any time within a period of ninety (90)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Voluntary Resignation</w:t>
      </w:r>
      <w:r>
        <w:rPr>
          <w:rFonts w:ascii="Times New Roman" w:hAnsi="Times New Roman"/>
          <w:sz w:val="20"/>
        </w:rPr>
        <w:t xml:space="preserve">. Unless otherwise provided in the applicable Award Agreement or otherwise determined by the Committee at the time of grant or, if no rights of the Participant are reduced, thereafter, if a Participant’s Termination of Service is voluntary (other than a voluntary termination described in Section 6.8(d) hereof), all Stock Options and Stock Appreciation Rights that are held by such Participant that are vested and exercisable at the time of the Participant’s Termination of Service may be exercised by the Participant at any time within a period of thirty (30) days from the date of such Termination of Service, but in no event beyond the expiration of the stated term of such Stock Options or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for Cause</w:t>
      </w:r>
      <w:r>
        <w:rPr>
          <w:rFonts w:ascii="Times New Roman" w:hAnsi="Times New Roman"/>
          <w:sz w:val="20"/>
        </w:rPr>
        <w:t xml:space="preserve">. Unless otherwise provided in the applicable Award Agreement or determined by the Committee at the time of grant, or if no rights of the Participant are reduced, thereafter, if a Participant’s Termination of Service (i) is for Cause or (ii) is a voluntary Termination of Service (as provided in Section 6.8(c)) after the occurrence of an event that would be grounds for a Termination of Service for Cause, all Stock Options and Stock Appreciation Rights, whether vested or not vested, that are held by such Participant shall thereupon immediately terminate and expire as of the date of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Unvested Stock Options and Stock Appreciation Rights.</w:t>
      </w:r>
      <w:r>
        <w:rPr>
          <w:rFonts w:ascii="Times New Roman" w:hAnsi="Times New Roman"/>
          <w:sz w:val="20"/>
        </w:rPr>
        <w:t xml:space="preserve"> Unless otherwise provided in the applicable Award Agreement or determined by the Committee at the time of grant or, if no rights of the Participant are reduced, thereafter, Stock Options and Stock Appreciation Rights that are not vested as of the date of a Participant’s Termination of Service for any reason shall terminate and expire as of the date of such Termination of Service.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Incentive Stock Option Limitations</w:t>
      </w:r>
      <w:r>
        <w:rPr>
          <w:rFonts w:ascii="Times New Roman" w:hAnsi="Times New Roman"/>
          <w:sz w:val="20"/>
        </w:rPr>
        <w:t xml:space="preserve">. To the extent that the aggregate Fair Market Value (determined as of the time of grant) of the Shares with respect to which Incentive Stock Options are exercisable for the first time by an Eligible Employee during any calendar year under this Plan and/or any other stock option plan of the Company, any Parent or any Subsidiary exceeds $100,000, such Options shall be treated as Non-Qualified Stock Options. In addition, if an Eligible Employee does not remain employed by the Company, any Parent or any Subsidiary at all times from the time an Incentive Stock Option is granted until three (3) months prior to the date of exercise thereof (or such other period as required by Applicable Law), such Stock Option shall be treated as a Non-Qualified Stock Option. Should any provision of this Plan not be necessary in order for the Stock Options to qualify as Incentive Stock Options, or should any additional provisions be required, the Committee may amend this Plan accordingly, without the necessity of obtaining the approval of the stockholders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Modification, Extension and Renewal of Stock Options</w:t>
      </w:r>
      <w:r>
        <w:rPr>
          <w:rFonts w:ascii="Times New Roman" w:hAnsi="Times New Roman"/>
          <w:sz w:val="20"/>
        </w:rPr>
        <w:t xml:space="preserve">. The Committee may (i) modify, extend, or renew outstanding Stock Options granted under this Plan (provided that the rights of a Participant are not reduced without such Participant’s consent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such action does not subject the Stock Options to Section 409A of the Code without the consent of the Participant), and (ii) accept the surrender of outstanding Stock Options (to the extent not theretofore exercised) and authorize the granting of new Stock Options in substitution therefor (to the extent not theretofore exercised). </w:t>
      </w:r>
    </w:p>
    <w:p>
      <w:pPr>
        <w:pStyle w:val="TextBody"/>
        <w:bidi w:val="0"/>
        <w:spacing w:before="24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u w:val="single"/>
        </w:rPr>
        <w:t>Automatic Exercise</w:t>
      </w:r>
      <w:r>
        <w:rPr>
          <w:rFonts w:ascii="Times New Roman" w:hAnsi="Times New Roman"/>
          <w:sz w:val="20"/>
        </w:rPr>
        <w:t xml:space="preserve">. The Committee may include a provision in an Award Agreement providing for the automatic exercise of a Non-Qualified Stock Option or Stock Appreciation Right on a cashless basis on the last day of the term of such Option or Stock Appreciation Right if the Participant has failed to exercise the Non-Qualified Stock Option or Stock Appreciation Right as of such date, with respect to which the Fair Market Value of the Shares underlying the Non-Qualified Stock Option or Stock Appreciation Right exceeds the exercise price of such Non-Qualified Stock Option or Stock Appreciation Right on the date of expiration of such Option or Stock Appreciation Right, subject to Section 13.4.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u w:val="single"/>
        </w:rPr>
        <w:t>Dividends</w:t>
      </w:r>
      <w:r>
        <w:rPr>
          <w:rFonts w:ascii="Times New Roman" w:hAnsi="Times New Roman"/>
          <w:sz w:val="20"/>
        </w:rPr>
        <w:t xml:space="preserve">. No dividends or Dividend Equivalent Rights shall be granted with respect to Stock Options or Stock Appreciation Rights.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u w:val="single"/>
        </w:rPr>
        <w:t>Other Terms and Conditions</w:t>
      </w:r>
      <w:r>
        <w:rPr>
          <w:rFonts w:ascii="Times New Roman" w:hAnsi="Times New Roman"/>
          <w:sz w:val="20"/>
        </w:rPr>
        <w:t xml:space="preserve">. As the Committee shall deem appropriate, Stock Options and Stock Appreciation Rights may be subject to additional terms and conditions or other provisions, which shall not be inconsistent with any of the terms of this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RESTRICTED STOCK; RESTRICTED STOCK UNITS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u w:val="single"/>
        </w:rPr>
        <w:t>Awards of Restricted Stock and Restricted Stock Units</w:t>
      </w:r>
      <w:r>
        <w:rPr>
          <w:rFonts w:ascii="Times New Roman" w:hAnsi="Times New Roman"/>
          <w:sz w:val="20"/>
        </w:rPr>
        <w:t xml:space="preserve">. Shares of Restricted Stock and Restricted Stock Units may be granted alone or in addition to other Awards granted under this Plan. The Committee shall determine the Eligible Individuals to whom, and the time or times at which, grants of Restricted Stock and/or Restricted Stock Units shall be made, the number of shares of Restricted Stock or Restricted Stock Units to be awarded, the price (if any) to be paid by the Participant (subject to Section 7.2), the time or times within which such Awards may be subject to forfeiture, the vesting schedule and rights to acceleration thereof, and all other terms and conditions of the Awards. The Committee shall determine and set forth in the Award Agreement the terms and conditions for each Award of Restricted Stock and Restricted Stock Units, subject to the conditions and limitations contained in this Plan, including any vesting or forfeiture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condition the grant or vesting of Restricted Stock and Restricted Stock Units upon the attainment of specified Performance Goals or such other factor as the Committee may determine in its sole discretion.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u w:val="single"/>
        </w:rPr>
        <w:t>Awards and Certificates</w:t>
      </w:r>
      <w:r>
        <w:rPr>
          <w:rFonts w:ascii="Times New Roman" w:hAnsi="Times New Roman"/>
          <w:sz w:val="20"/>
        </w:rPr>
        <w:t xml:space="preserve">. Restricted Stock and Restricted Stock Units granted under this Plan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Purchase Price</w:t>
      </w:r>
      <w:r>
        <w:rPr>
          <w:rFonts w:ascii="Times New Roman" w:hAnsi="Times New Roman"/>
          <w:sz w:val="20"/>
        </w:rPr>
        <w:t xml:space="preserve">. The purchase price of Restricted Stock shall be fixed by the Committee. The purchase price for shares of Restricted Stock may be zero to the extent permitted by Applicable Law, and, to the extent not so permitted, such purchase price may not be less than par value.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Legend</w:t>
      </w:r>
      <w:r>
        <w:rPr>
          <w:rFonts w:ascii="Times New Roman" w:hAnsi="Times New Roman"/>
          <w:sz w:val="20"/>
        </w:rPr>
        <w:t xml:space="preserve">. Each Participant receiving Restricted Stock shall be issued a stock certificate in respect of such shares of Restricted Stock, unless the Committee elects to use another system, such as book entries by the Company’s transfer agent, as evidencing ownership of shares of Restricted Stock. Such certificate shall be registered in the name of such Participant, and shall, in addition to such legends required by Applicable Law, bear an appropriate legend referring to the terms, conditions, and restrictions applicable to such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Custody</w:t>
      </w:r>
      <w:r>
        <w:rPr>
          <w:rFonts w:ascii="Times New Roman" w:hAnsi="Times New Roman"/>
          <w:sz w:val="20"/>
        </w:rPr>
        <w:t xml:space="preserve">. If stock certificates are issued in respect of shares of Restricted Stock, the Committee may require that any stock certificates evidencing such shares be held in custody by the Company until the restrictions thereon shall have lapsed, and that, as a condition of any grant of Restricted Stock, the Participant shall have delivered a duly signed stock power or other instruments of assignment (including a power of attorney), each endorsed in blank with a guarantee of signature if deemed necessary or appropriate by the Company, which would permit transfer to the Company of all or a portion of the shares subject to the Award of Restricted Stock in the event that such Award is forfeited in whole or part. </w:t>
      </w:r>
    </w:p>
    <w:p>
      <w:pPr>
        <w:pStyle w:val="TextBody"/>
        <w:bidi w:val="0"/>
        <w:spacing w:before="12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Rights as a Stockholder</w:t>
      </w:r>
      <w:r>
        <w:rPr>
          <w:rFonts w:ascii="Times New Roman" w:hAnsi="Times New Roman"/>
          <w:sz w:val="20"/>
        </w:rPr>
        <w:t xml:space="preserve">. Except as provided in Section 7.3(a) and this Section 7.2(a) or as otherwise determined by the Committee in an Award Agreement, the Participant shall have, with respect to the shares of Restricted Stock, all of the rights of a holder of Shares, including, without limitation, the right to receive dividends, the right to vote such shares, and, subject to and conditioned upon the full vesting of shares of Restricted Stock, the right to tender such shares; </w:t>
      </w:r>
      <w:r>
        <w:rPr>
          <w:rFonts w:ascii="Times New Roman" w:hAnsi="Times New Roman"/>
          <w:i/>
          <w:sz w:val="20"/>
        </w:rPr>
        <w:t>provided</w:t>
      </w:r>
      <w:r>
        <w:rPr>
          <w:rFonts w:ascii="Times New Roman" w:hAnsi="Times New Roman"/>
          <w:sz w:val="20"/>
        </w:rPr>
        <w:t xml:space="preserve"> that the Award Agreement shall specify on what terms and conditions the applicable Participant shall be entitled to dividends payable on the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Lapse of Restrictions</w:t>
      </w:r>
      <w:r>
        <w:rPr>
          <w:rFonts w:ascii="Times New Roman" w:hAnsi="Times New Roman"/>
          <w:sz w:val="20"/>
        </w:rPr>
        <w:t xml:space="preserve">. If and when the Restriction Period expires without a prior forfeiture of the Restricted Stock, the certificates for such Shares shall be delivered to the Participant. All legends shall be removed from said certificates at the time of delivery to the Participant, except as otherwise required by Applicable Law or other limitations imposed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Settlement</w:t>
      </w:r>
      <w:r>
        <w:rPr>
          <w:rFonts w:ascii="Times New Roman" w:hAnsi="Times New Roman"/>
          <w:sz w:val="20"/>
        </w:rPr>
        <w:t xml:space="preserve">. The Committee may provide that settlement of Restricted Stock Units will occur upon or as soon as reasonably practical after the Restricted Stock Units vest or will instead be deferred, on a mandatory basis or at the Participant’s election, in a manner intended to comply with Section 409A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Rights as a Stockholder</w:t>
      </w:r>
      <w:r>
        <w:rPr>
          <w:rFonts w:ascii="Times New Roman" w:hAnsi="Times New Roman"/>
          <w:sz w:val="20"/>
        </w:rPr>
        <w:t xml:space="preserve">. A Participant will have no rights of a stockholder with respect to Shares subject to any Restricted Stock Unit unless and until Shares are delivered in settlement of the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Dividend Equivalent Rights</w:t>
      </w:r>
      <w:r>
        <w:rPr>
          <w:rFonts w:ascii="Times New Roman" w:hAnsi="Times New Roman"/>
          <w:sz w:val="20"/>
        </w:rPr>
        <w:t xml:space="preserve">. If the Committee so provides, a grant of Restricted Stock Units may provide a Participant with the right to receive Dividend Equivalent Rights. Dividend Equivalent Rights may be paid currently or credited to an account for the Participant, settled in cash or Shares, and subject to the same restrictions on transferability and forfeitability as the Restricted Stock Units with respect to which the Dividend Equivalent Rights are granted and subject to other terms and conditions as set forth in the Award Agreement. </w:t>
      </w:r>
    </w:p>
    <w:p>
      <w:pPr>
        <w:pStyle w:val="TextBody"/>
        <w:bidi w:val="0"/>
        <w:spacing w:before="24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u w:val="single"/>
        </w:rPr>
        <w:t>Restrictions and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Participant shall not be permitted to transfer shares of Restricted Stock awarded under this Plan or vest in Restricted Stock Units during the period or periods set by the Committee (the “</w:t>
      </w:r>
      <w:r>
        <w:rPr>
          <w:rFonts w:ascii="Times New Roman" w:hAnsi="Times New Roman"/>
          <w:sz w:val="20"/>
          <w:u w:val="single"/>
        </w:rPr>
        <w:t>Restriction Period</w:t>
      </w:r>
      <w:r>
        <w:rPr>
          <w:rFonts w:ascii="Times New Roman" w:hAnsi="Times New Roman"/>
          <w:sz w:val="20"/>
        </w:rPr>
        <w:t xml:space="preserve">”) commencing on the date of such Award, as set forth in the applicable Award Agreement and such agreement shall set forth a vesting schedule and any event that would accelerate vesting of the Restricted Stock and/or Restricted Stock Units. Within these limits, based on service, attainment of Performance Goals pursuant to Section 7.3(a)(i), and/or such other factors or criteria as the Committee may determine in its sole discretion, the Committee may condition the grant or provide for the lapse of such restrictions in installments in whole or in part, or may accelerate the vesting of all or any part of any Award of Restricted Stock or Restricted Stock Units and/or waive the deferral limitations for all or any part of any Award of Restricted Stock or Restricted Stock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the grant of shares of Restricted Stock or Restricted Stock Units or the lapse of restrictions or vesting schedule is based on the attainment of Performance Goals, the Committee shall establish the objective Performance Goals and the applicable vesting percentage applicable to each Participant or class of Participants in the applicable Award Agreement prior to the beginning of the applicable fiscal year or at such later date as otherwise determined by the Committee and while the outcome of the Performance Goals are substantially uncertain. Such Performance Goals may incorporate provisions for disregarding (or adjusting for) changes in accounting methods, corporate transactions (including, without limitation, dispositions and acquisitions), and other similar types of events or circumstances.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w:t>
      </w:r>
      <w:r>
        <w:rPr>
          <w:rFonts w:ascii="Times New Roman" w:hAnsi="Times New Roman"/>
          <w:sz w:val="20"/>
        </w:rPr>
        <w:t xml:space="preserve">. Unless otherwise provided in the applicable Award Agreement or determined by the Committee at grant or, if no rights of the Participant are reduced, thereafter, upon a Participant’s Termination of Service for any reason during the relevant Restriction Period, all Restricted Stock or Restricted Stock Units still subject to restriction will be forfeited in accordance with the terms and conditions established by the Committee at grant or thereafter.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PERFORMANCE AWARDS </w:t>
      </w:r>
    </w:p>
    <w:p>
      <w:pPr>
        <w:pStyle w:val="TextBody"/>
        <w:bidi w:val="0"/>
        <w:spacing w:before="240" w:after="0"/>
        <w:jc w:val="left"/>
        <w:rPr>
          <w:rFonts w:ascii="Times New Roman" w:hAnsi="Times New Roman"/>
          <w:sz w:val="20"/>
        </w:rPr>
      </w:pPr>
      <w:r>
        <w:rPr>
          <w:rFonts w:ascii="Times New Roman" w:hAnsi="Times New Roman"/>
          <w:sz w:val="20"/>
        </w:rPr>
        <w:t xml:space="preserve">The Committee may grant a Performance Award to a Participant payable upon the attainment of specific Performance Goals either alone or in addition to other Awards granted under this Plan. The Performance Goals to be achieved during the Performance Period and the length of the Performance Period shall be determined by the Committee upon the grant of each Performance Award. The conditions for grant or vesting and the other provisions of Performance Awards (including, without limitation, any applicable Performance Goals) need not be the same with respect to each Participant. Performance Awards may be paid in cash, Shares, other property, or any combination thereof, in the sole discretion of the Committee as set forth in the applicable Award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OTHER STOCK-BASED AND CASH AWARDS </w:t>
      </w:r>
    </w:p>
    <w:p>
      <w:pPr>
        <w:pStyle w:val="TextBody"/>
        <w:bidi w:val="0"/>
        <w:spacing w:before="240" w:after="0"/>
        <w:jc w:val="left"/>
        <w:rPr>
          <w:rFonts w:ascii="Times New Roman" w:hAnsi="Times New Roman"/>
          <w:sz w:val="20"/>
        </w:rPr>
      </w:pPr>
      <w:r>
        <w:rPr>
          <w:rFonts w:ascii="Times New Roman" w:hAnsi="Times New Roman"/>
          <w:b/>
          <w:sz w:val="20"/>
        </w:rPr>
        <w:t>9.1</w:t>
      </w:r>
      <w:r>
        <w:rPr>
          <w:rFonts w:ascii="Times New Roman" w:hAnsi="Times New Roman"/>
          <w:sz w:val="20"/>
        </w:rPr>
        <w:t xml:space="preserve"> </w:t>
      </w:r>
      <w:r>
        <w:rPr>
          <w:rFonts w:ascii="Times New Roman" w:hAnsi="Times New Roman"/>
          <w:b/>
          <w:sz w:val="20"/>
          <w:u w:val="single"/>
        </w:rPr>
        <w:t>Other Stock-Based Awards</w:t>
      </w:r>
      <w:r>
        <w:rPr>
          <w:rFonts w:ascii="Times New Roman" w:hAnsi="Times New Roman"/>
          <w:sz w:val="20"/>
        </w:rPr>
        <w:t xml:space="preserve">. The Committee is authorized to grant to Eligible Individuals Other Stock-Based Awards that are payable in, valued in whole or in part by reference to, or otherwise based on or related to Shares, including but not limited to, Shares awarded purely as a bonus and not subject to restrictions or conditions, Shares in payment of the amounts due under an incentive or performance plan sponsored or maintained by the Company, stock equivalent units, and Awards valued by reference to the book value of Shares. Other Stock-Based Awards may be granted either alone or in addition to or in tandem with other Awards granted under this Plan.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provisions of this Plan, the Committee shall have authority to determine the Eligible Individuals, to whom, and the time or times at which, such Other Stock-Based Awards shall be made, the number of Shares to be awarded pursuant to such Awards, and all other conditions of the Awards. The Committee may also provide for the grant of Shares under such Awards upon the completion of a specified Performance Period. The Committee may condition the grant or vesting of Other Stock-Based Awards upon the attainment of specified Performance Goals as the Committee may determine, in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9.2</w:t>
      </w:r>
      <w:r>
        <w:rPr>
          <w:rFonts w:ascii="Times New Roman" w:hAnsi="Times New Roman"/>
          <w:sz w:val="20"/>
        </w:rPr>
        <w:t xml:space="preserve"> </w:t>
      </w:r>
      <w:r>
        <w:rPr>
          <w:rFonts w:ascii="Times New Roman" w:hAnsi="Times New Roman"/>
          <w:b/>
          <w:sz w:val="20"/>
          <w:u w:val="single"/>
        </w:rPr>
        <w:t>Terms and Conditions</w:t>
      </w:r>
      <w:r>
        <w:rPr>
          <w:rFonts w:ascii="Times New Roman" w:hAnsi="Times New Roman"/>
          <w:sz w:val="20"/>
        </w:rPr>
        <w:t xml:space="preserve">. Other Stock-Based Awards made pursuant to this Article IX shall be evidenced by an Award Agreement and subject to the following terms and conditions and shall be in such form and contain such additional terms and conditions not inconsistent with the terms of this Plan, as the Committee shall deem desirable: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Non-Transferability</w:t>
      </w:r>
      <w:r>
        <w:rPr>
          <w:rFonts w:ascii="Times New Roman" w:hAnsi="Times New Roman"/>
          <w:sz w:val="20"/>
        </w:rPr>
        <w:t xml:space="preserve">. Subject to the applicable provisions of the Award Agreement and this Plan, Shares subject to Other Stock-Based Awards may not be transferred prior to the date on which the Shares are issued or, if later, the date on which any applicable restriction, performance, or deferral period lapses.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Dividends</w:t>
      </w:r>
      <w:r>
        <w:rPr>
          <w:rFonts w:ascii="Times New Roman" w:hAnsi="Times New Roman"/>
          <w:sz w:val="20"/>
        </w:rPr>
        <w:t xml:space="preserve">. Unless otherwise determined by the Committee at the time of the grant of an Other Stock-Based Award, subject to the provisions of the Award Agreement and this Plan, the recipient of an Other Stock-Based Award shall not be entitled to receive, currently or on a deferred basis, dividends or Dividend Equivalent Rights in respect of the number of Shares covered by the Other Stock-Based Award.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Vesting</w:t>
      </w:r>
      <w:r>
        <w:rPr>
          <w:rFonts w:ascii="Times New Roman" w:hAnsi="Times New Roman"/>
          <w:sz w:val="20"/>
        </w:rPr>
        <w:t xml:space="preserve">. Any Other Stock-Based Award and any Shares covered by any such Other Stock-Based Award shall vest or be forfeited to the extent so provided in the Award Agreement,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Price</w:t>
      </w:r>
      <w:r>
        <w:rPr>
          <w:rFonts w:ascii="Times New Roman" w:hAnsi="Times New Roman"/>
          <w:sz w:val="20"/>
        </w:rPr>
        <w:t xml:space="preserve">. Shares under this Article IX may be issued for no cash consideration. Shares purchased pursuant to a purchase right awarded pursuant to an Other Stock-Based Award shall be priced, as determined by the Committee in its sole discretion. </w:t>
      </w:r>
    </w:p>
    <w:p>
      <w:pPr>
        <w:pStyle w:val="TextBody"/>
        <w:bidi w:val="0"/>
        <w:spacing w:before="240" w:after="0"/>
        <w:jc w:val="left"/>
        <w:rPr>
          <w:rFonts w:ascii="Times New Roman" w:hAnsi="Times New Roman"/>
          <w:sz w:val="20"/>
        </w:rPr>
      </w:pPr>
      <w:r>
        <w:rPr>
          <w:rFonts w:ascii="Times New Roman" w:hAnsi="Times New Roman"/>
          <w:b/>
          <w:sz w:val="20"/>
        </w:rPr>
        <w:t>9.3</w:t>
      </w:r>
      <w:r>
        <w:rPr>
          <w:rFonts w:ascii="Times New Roman" w:hAnsi="Times New Roman"/>
          <w:sz w:val="20"/>
        </w:rPr>
        <w:t xml:space="preserve"> </w:t>
      </w:r>
      <w:r>
        <w:rPr>
          <w:rFonts w:ascii="Times New Roman" w:hAnsi="Times New Roman"/>
          <w:b/>
          <w:sz w:val="20"/>
          <w:u w:val="single"/>
        </w:rPr>
        <w:t>Cash Awards</w:t>
      </w:r>
      <w:r>
        <w:rPr>
          <w:rFonts w:ascii="Times New Roman" w:hAnsi="Times New Roman"/>
          <w:sz w:val="20"/>
        </w:rPr>
        <w:t xml:space="preserve">. The Committee may from time to time grant Cash Awards to Eligible Individuals in such amounts, on such terms and conditions, and for such consideration, including no consideration or such minimum consideration as may be required by Applicable Law, as it shall determine in its sole discretion. Cash Awards may be granted subject to the satisfaction of vesting conditions or may be awarded purely as a bonus and not subject to restrictions or conditions, and if subject to vesting conditions, the Committee may accelerate the vesting of such Awards at any time in its sole discretion. The grant of a Cash Award shall not require a segregation of any of the Company’s assets for satisfaction of the Company’s payment obligation thereunder.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CHANGE IN CONTROL PROVISIONS </w:t>
      </w:r>
    </w:p>
    <w:p>
      <w:pPr>
        <w:pStyle w:val="TextBody"/>
        <w:bidi w:val="0"/>
        <w:spacing w:before="240" w:after="0"/>
        <w:jc w:val="left"/>
        <w:rPr>
          <w:rFonts w:ascii="Times New Roman" w:hAnsi="Times New Roman"/>
          <w:sz w:val="20"/>
        </w:rPr>
      </w:pPr>
      <w:r>
        <w:rPr>
          <w:rFonts w:ascii="Times New Roman" w:hAnsi="Times New Roman"/>
          <w:b/>
          <w:sz w:val="20"/>
        </w:rPr>
        <w:t>10.1</w:t>
      </w:r>
      <w:r>
        <w:rPr>
          <w:rFonts w:ascii="Times New Roman" w:hAnsi="Times New Roman"/>
          <w:sz w:val="20"/>
        </w:rPr>
        <w:t xml:space="preserve"> </w:t>
      </w:r>
      <w:r>
        <w:rPr>
          <w:rFonts w:ascii="Times New Roman" w:hAnsi="Times New Roman"/>
          <w:b/>
          <w:sz w:val="20"/>
          <w:u w:val="single"/>
        </w:rPr>
        <w:t>Benefits</w:t>
      </w:r>
      <w:r>
        <w:rPr>
          <w:rFonts w:ascii="Times New Roman" w:hAnsi="Times New Roman"/>
          <w:sz w:val="20"/>
        </w:rPr>
        <w:t xml:space="preserve">. In the event of a Change in Control of the Company, and except as otherwise provided by the Committee in an Award Agreement or any applicable employment agreement, offer letter, consulting agreement, change in control agreement, or similar agreement in effect between the Company or an Affiliate and the Participant, a Participant’s unvested Awards shall not vest automatically and a Participant’s Awards shall be treated in accordance with one or more of the following methods as determined by the Committee: </w:t>
      </w:r>
    </w:p>
    <w:p>
      <w:pPr>
        <w:pStyle w:val="TextBody"/>
        <w:bidi w:val="0"/>
        <w:spacing w:before="240" w:after="0"/>
        <w:jc w:val="left"/>
        <w:rPr>
          <w:rFonts w:ascii="Times New Roman" w:hAnsi="Times New Roman"/>
          <w:sz w:val="20"/>
        </w:rPr>
      </w:pPr>
      <w:r>
        <w:rPr>
          <w:rFonts w:ascii="Times New Roman" w:hAnsi="Times New Roman"/>
          <w:sz w:val="20"/>
        </w:rPr>
        <w:t xml:space="preserve">(a) Awards, whether or not then vested, shall be continued, be assumed, or have new rights substituted therefor, as determined by the Committee in a manner consistent with the requirements of Section 409A of the Code, and restrictions to which shares of Restricted Stock or any other Award granted prior to the Change in Control are subject shall not lapse upon a Change in Control and the Restricted Stock or other Award shall, where appropriate in the sole discretion of the Committee, receive the same distribution as other Shares on such terms as determined by the Committee; </w:t>
      </w:r>
      <w:r>
        <w:rPr>
          <w:rFonts w:ascii="Times New Roman" w:hAnsi="Times New Roman"/>
          <w:i/>
          <w:sz w:val="20"/>
        </w:rPr>
        <w:t>provided</w:t>
      </w:r>
      <w:r>
        <w:rPr>
          <w:rFonts w:ascii="Times New Roman" w:hAnsi="Times New Roman"/>
          <w:sz w:val="20"/>
        </w:rPr>
        <w:t xml:space="preserve"> that the Committee may decide to award additional Restricted Stock or other Awards in lieu of any cash distribution. Notwithstanding anything to the contrary herein, for purposes of Incentive Stock Options, any assumed or substituted Stock Option shall comply with the requirements of Treasury Regulation Section 1.424-1 (and any amendment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Committee, in its sole discretion, may provide for the purchase of any Awards by the Company for an amount of cash equal to the excess (if any) of the Change in Control Price of the Shares covered by such Awards, over the aggregate exercise price of such Awards; </w:t>
      </w:r>
      <w:r>
        <w:rPr>
          <w:rFonts w:ascii="Times New Roman" w:hAnsi="Times New Roman"/>
          <w:i/>
          <w:sz w:val="20"/>
        </w:rPr>
        <w:t>provided, however</w:t>
      </w:r>
      <w:r>
        <w:rPr>
          <w:rFonts w:ascii="Times New Roman" w:hAnsi="Times New Roman"/>
          <w:sz w:val="20"/>
        </w:rPr>
        <w:t xml:space="preserve">, that if the exercise price of an Option or Stock Appreciation Right exceeds the Change in Control Price, such Award may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 xml:space="preserve">(c) The Committee may, in its sole discretion, terminate all outstanding and unexercised Stock Options, Stock Appreciation Rights, or any Other Stock-Based Award that provides for a Participant-elected exercise, effective as of the date of the Change in Control, by delivering notice of termination to each Participant at least twenty (20) days prior to the date of consummation of the Change in Control, in which case during the period from the date on which such notice of termination is delivered to the consummation of the Change in Control, each such Participant shall have the right to exercise in full all of such Participant’s Awards that are then outstanding (without regard to any limitations on exercisability otherwise contained in the Award Agreements), but any such exercise shall be contingent on the occurrence of the Change in Control, and, </w:t>
      </w:r>
      <w:r>
        <w:rPr>
          <w:rFonts w:ascii="Times New Roman" w:hAnsi="Times New Roman"/>
          <w:i/>
          <w:sz w:val="20"/>
        </w:rPr>
        <w:t>provided</w:t>
      </w:r>
      <w:r>
        <w:rPr>
          <w:rFonts w:ascii="Times New Roman" w:hAnsi="Times New Roman"/>
          <w:sz w:val="20"/>
        </w:rPr>
        <w:t xml:space="preserve"> that, if the Change in Control does not take place within a specified period after giving such notice for any reason whatsoever, the notice and exercise pursuant thereto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 other provision herein to the contrary, the Committee may, in its sole discretion, provide for accelerated vesting or lapse of restrictions, of an Award at any time.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OR AMENDMENT OF PLAN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of this Plan, the Board or the Committee may at any time, and from time to time, amend, in whole or in part, any or all of the provisions of this Plan (including any amendment deemed necessary to ensure that the Company may comply with any Applicable Law), or suspend or terminate it entirely, retroactively or otherwise; </w:t>
      </w:r>
      <w:r>
        <w:rPr>
          <w:rFonts w:ascii="Times New Roman" w:hAnsi="Times New Roman"/>
          <w:i/>
          <w:sz w:val="20"/>
        </w:rPr>
        <w:t>provided, however</w:t>
      </w:r>
      <w:r>
        <w:rPr>
          <w:rFonts w:ascii="Times New Roman" w:hAnsi="Times New Roman"/>
          <w:sz w:val="20"/>
        </w:rPr>
        <w:t xml:space="preserve">, that, unless otherwise required by Applicable Law or specifically provided herein, the rights of a Participant with respect to Awards granted prior to such amendment, suspension, or termination may not be materially impaired without the consent of such Participant and,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without the approval of the holders of the Shares entitled to vote in accordance with Applicable Law, no amendment may be made that would (a) increase the aggregate number of Shares that may be issued under this Plan (except by operation of Section 4.1); or (b) change the classification of individuals eligible to receive Awards under this Plan. In addition, the Board or the Committee shall, without the approval of the holders of the Shares entitled to vote in accordance with Applicable Law, have the authority to (i) amend any outstanding Option or Stock Appreciation Right to reduce its exercise price per Share or (ii) cancel any Option or Stock Appreciation Right in exchange for cash or another Award. Notwithstanding anything herein to the contrary, the Board or the Committee may amend this Plan or any Award Agreement at any time without a Participant’s consent to comply with Applicable Law, including Section 409A of the Code. The Committee may amend the terms of any Award theretofore granted, prospectively or retroactively, but, subject to Article IV or as otherwise specifically provided herein, no such amendment or other action by the Committee shall materially impair the rights of any Participant without the Participant’s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0" w:after="0"/>
        <w:jc w:val="center"/>
        <w:rPr>
          <w:rFonts w:ascii="Times New Roman" w:hAnsi="Times New Roman"/>
          <w:b/>
          <w:sz w:val="20"/>
        </w:rPr>
      </w:pPr>
      <w:r>
        <w:rPr>
          <w:rFonts w:ascii="Times New Roman" w:hAnsi="Times New Roman"/>
          <w:b/>
          <w:sz w:val="20"/>
        </w:rPr>
        <w:t xml:space="preserve">UNFUNDED STATUS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is intended to constitute an “unfunded” plan for incentive and deferred compensation. With respect to any payment as to which a Participant has a fixed and vested interest but which is not yet made to a Participant by the Company, nothing contained herein shall give any such Participant any right that is greater than those of a general unsecured creditor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b/>
          <w:sz w:val="20"/>
        </w:rPr>
        <w:t>13.1</w:t>
      </w:r>
      <w:r>
        <w:rPr>
          <w:rFonts w:ascii="Times New Roman" w:hAnsi="Times New Roman"/>
          <w:sz w:val="20"/>
        </w:rPr>
        <w:t xml:space="preserve"> </w:t>
      </w:r>
      <w:r>
        <w:rPr>
          <w:rFonts w:ascii="Times New Roman" w:hAnsi="Times New Roman"/>
          <w:b/>
          <w:sz w:val="20"/>
          <w:u w:val="single"/>
        </w:rPr>
        <w:t>Lock-Up; Legend</w:t>
      </w:r>
      <w:r>
        <w:rPr>
          <w:rFonts w:ascii="Times New Roman" w:hAnsi="Times New Roman"/>
          <w:sz w:val="20"/>
        </w:rPr>
        <w:t xml:space="preserve">. The Committee may require each person receiving Shares pursuant to a Stock Option or other Award under this Plan to represent to and agree with the Company in writing that the Participant is acquiring the Shares without a view to distribution thereof. The Company may, in connection with registering the offering of any Company securities under the Securities Act, prohibit Participants from, directly or indirectly, selling or otherwise transferring any Shares or other Company securities during any period determined by the underwriter or the Company. In addition to any legend required by this Plan, the certificates for such Shares may include any legend that the Committee deems appropriate to reflect any restrictions on transfer. All certificates for Shares delivered under this Plan shall be subject to such stop transfer orders and other restrictions as the Committee may deem advisable under the rules, regulations, and other requirements of the Securities and Exchange Commission, any stock exchange upon which the Common Stock is then listed or any national securities exchange system upon whose system the Common Stock is then quoted, and any Applicable Law, and the Committee may cause a legend or legends to be put on any such certificates to make appropriate reference to such restrictions. If the Shares are held in book-entry form, then the book-entry will indicate any restrictions on such Shares. </w:t>
      </w:r>
    </w:p>
    <w:p>
      <w:pPr>
        <w:pStyle w:val="TextBody"/>
        <w:bidi w:val="0"/>
        <w:spacing w:before="240" w:after="0"/>
        <w:jc w:val="left"/>
        <w:rPr>
          <w:rFonts w:ascii="Times New Roman" w:hAnsi="Times New Roman"/>
          <w:sz w:val="20"/>
        </w:rPr>
      </w:pPr>
      <w:r>
        <w:rPr>
          <w:rFonts w:ascii="Times New Roman" w:hAnsi="Times New Roman"/>
          <w:b/>
          <w:sz w:val="20"/>
        </w:rPr>
        <w:t>13.2</w:t>
      </w:r>
      <w:r>
        <w:rPr>
          <w:rFonts w:ascii="Times New Roman" w:hAnsi="Times New Roman"/>
          <w:sz w:val="20"/>
        </w:rPr>
        <w:t xml:space="preserve"> </w:t>
      </w:r>
      <w:r>
        <w:rPr>
          <w:rFonts w:ascii="Times New Roman" w:hAnsi="Times New Roman"/>
          <w:b/>
          <w:sz w:val="20"/>
          <w:u w:val="single"/>
        </w:rPr>
        <w:t>Other Plans</w:t>
      </w:r>
      <w:r>
        <w:rPr>
          <w:rFonts w:ascii="Times New Roman" w:hAnsi="Times New Roman"/>
          <w:sz w:val="20"/>
        </w:rPr>
        <w:t xml:space="preserve">. Nothing contained in this Plan shall prevent the Board from adopting other or additional compensation arrangements, subject to stockholder approval if such approval is required, and such arrangements may be either generally applicable or applicable only in specific cases. </w:t>
      </w:r>
    </w:p>
    <w:p>
      <w:pPr>
        <w:pStyle w:val="TextBody"/>
        <w:bidi w:val="0"/>
        <w:spacing w:before="240" w:after="0"/>
        <w:jc w:val="left"/>
        <w:rPr>
          <w:rFonts w:ascii="Times New Roman" w:hAnsi="Times New Roman"/>
          <w:sz w:val="20"/>
        </w:rPr>
      </w:pPr>
      <w:r>
        <w:rPr>
          <w:rFonts w:ascii="Times New Roman" w:hAnsi="Times New Roman"/>
          <w:b/>
          <w:sz w:val="20"/>
        </w:rPr>
        <w:t>13.3</w:t>
      </w:r>
      <w:r>
        <w:rPr>
          <w:rFonts w:ascii="Times New Roman" w:hAnsi="Times New Roman"/>
          <w:sz w:val="20"/>
        </w:rPr>
        <w:t xml:space="preserve"> </w:t>
      </w:r>
      <w:r>
        <w:rPr>
          <w:rFonts w:ascii="Times New Roman" w:hAnsi="Times New Roman"/>
          <w:b/>
          <w:sz w:val="20"/>
          <w:u w:val="single"/>
        </w:rPr>
        <w:t>No Right to Employment/Directorship/Consultancy</w:t>
      </w:r>
      <w:r>
        <w:rPr>
          <w:rFonts w:ascii="Times New Roman" w:hAnsi="Times New Roman"/>
          <w:sz w:val="20"/>
        </w:rPr>
        <w:t xml:space="preserve">. Neither this Plan nor the grant of any Award hereunder shall give any Participant or other employee, Consultant or Non-Employee Director any right with respect to continuance of employment, consultancy or directorship by the Company or any Affiliate, nor shall there be a limitation in any way on the right of the Company or any Affiliate by which an employee is employed or a Consultant or Non-Employee Director is retained to terminate such employment, consultancy, or directorship at any time. </w:t>
      </w:r>
    </w:p>
    <w:p>
      <w:pPr>
        <w:pStyle w:val="TextBody"/>
        <w:bidi w:val="0"/>
        <w:spacing w:before="240" w:after="0"/>
        <w:jc w:val="left"/>
        <w:rPr>
          <w:rFonts w:ascii="Times New Roman" w:hAnsi="Times New Roman"/>
          <w:sz w:val="20"/>
        </w:rPr>
      </w:pPr>
      <w:r>
        <w:rPr>
          <w:rFonts w:ascii="Times New Roman" w:hAnsi="Times New Roman"/>
          <w:b/>
          <w:sz w:val="20"/>
        </w:rPr>
        <w:t>13.4</w:t>
      </w:r>
      <w:r>
        <w:rPr>
          <w:rFonts w:ascii="Times New Roman" w:hAnsi="Times New Roman"/>
          <w:sz w:val="20"/>
        </w:rPr>
        <w:t xml:space="preserve"> </w:t>
      </w:r>
      <w:r>
        <w:rPr>
          <w:rFonts w:ascii="Times New Roman" w:hAnsi="Times New Roman"/>
          <w:b/>
          <w:sz w:val="20"/>
          <w:u w:val="single"/>
        </w:rPr>
        <w:t>Withholding of Taxes</w:t>
      </w:r>
      <w:r>
        <w:rPr>
          <w:rFonts w:ascii="Times New Roman" w:hAnsi="Times New Roman"/>
          <w:sz w:val="20"/>
        </w:rPr>
        <w:t xml:space="preserve">. A Participant shall be required to pay to the Company or one of its Affiliates, as applicable, or make arrangements satisfactory to the Company regarding the payment of, any income tax, social insurance contribution or other applicable taxes that are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be withheld in respect of an Award. The Committee may (but is not obligated to), in its sole discretion, permit or require a Participant to satisfy all or any portion of the applicable taxes that are required to be withheld with respect to an Award by (a) the delivery of Shares (which are not subject to any pledge or other security interest) that have been both held by the Participant and vested for at least six (6) months (or such other period as established from time to time by the Committee in order to avoid adverse accounting treatment under applicable accounting standards) having an aggregate Fair Market Value equal to such withholding liability (or portion thereof); (b) having the Company withhold from the Shares otherwise issuable or deliverable to, or that would otherwise be retained by, the Participant upon the grant, exercise, vesting, or settlement of the Award, as applicable, a number of Shares with an aggregate Fair Market Value equal to the amount of such withholding liability; or (c) by any other means specified in the applicable Award Agreement or otherwise determined by the Committee. </w:t>
      </w:r>
    </w:p>
    <w:p>
      <w:pPr>
        <w:pStyle w:val="TextBody"/>
        <w:bidi w:val="0"/>
        <w:spacing w:before="240" w:after="0"/>
        <w:jc w:val="left"/>
        <w:rPr>
          <w:rFonts w:ascii="Times New Roman" w:hAnsi="Times New Roman"/>
          <w:sz w:val="20"/>
        </w:rPr>
      </w:pPr>
      <w:r>
        <w:rPr>
          <w:rFonts w:ascii="Times New Roman" w:hAnsi="Times New Roman"/>
          <w:b/>
          <w:sz w:val="20"/>
        </w:rPr>
        <w:t>13.5</w:t>
      </w:r>
      <w:r>
        <w:rPr>
          <w:rFonts w:ascii="Times New Roman" w:hAnsi="Times New Roman"/>
          <w:sz w:val="20"/>
        </w:rPr>
        <w:t xml:space="preserve"> </w:t>
      </w:r>
      <w:r>
        <w:rPr>
          <w:rFonts w:ascii="Times New Roman" w:hAnsi="Times New Roman"/>
          <w:b/>
          <w:sz w:val="20"/>
          <w:u w:val="single"/>
        </w:rPr>
        <w:t>Fractional Shares</w:t>
      </w:r>
      <w:r>
        <w:rPr>
          <w:rFonts w:ascii="Times New Roman" w:hAnsi="Times New Roman"/>
          <w:sz w:val="20"/>
        </w:rPr>
        <w:t xml:space="preserve">. No fractional Shares shall be issued or delivered pursuant to this Plan. The Committee shall determine whether cash, additional Awards, or other securities or property shall be used or paid in lieu of fractional Shares or whether any fractional shares should be rounded, forfeited, or otherwise eliminated. </w:t>
      </w:r>
    </w:p>
    <w:p>
      <w:pPr>
        <w:pStyle w:val="TextBody"/>
        <w:bidi w:val="0"/>
        <w:spacing w:before="240" w:after="0"/>
        <w:jc w:val="left"/>
        <w:rPr>
          <w:rFonts w:ascii="Times New Roman" w:hAnsi="Times New Roman"/>
          <w:sz w:val="20"/>
        </w:rPr>
      </w:pPr>
      <w:r>
        <w:rPr>
          <w:rFonts w:ascii="Times New Roman" w:hAnsi="Times New Roman"/>
          <w:b/>
          <w:sz w:val="20"/>
        </w:rPr>
        <w:t>13.6</w:t>
      </w:r>
      <w:r>
        <w:rPr>
          <w:rFonts w:ascii="Times New Roman" w:hAnsi="Times New Roman"/>
          <w:sz w:val="20"/>
        </w:rPr>
        <w:t xml:space="preserve"> </w:t>
      </w:r>
      <w:r>
        <w:rPr>
          <w:rFonts w:ascii="Times New Roman" w:hAnsi="Times New Roman"/>
          <w:b/>
          <w:sz w:val="20"/>
          <w:u w:val="single"/>
        </w:rPr>
        <w:t>No Assignment of Benefits</w:t>
      </w:r>
      <w:r>
        <w:rPr>
          <w:rFonts w:ascii="Times New Roman" w:hAnsi="Times New Roman"/>
          <w:sz w:val="20"/>
        </w:rPr>
        <w:t xml:space="preserve">. No Award or other benefit payable under this Plan shall, except as otherwise specifically provided in this Plan or under Applicable Law or permitted by the Committee, be transferable in any manner, and any attempt to transfer any such benefit shall be void, and any such benefit shall not in any manner be liable for or subject to the debts, contracts, liabilities, engagements, or torts of any person who shall be entitled to such benefit, nor shall it be subject to attachment or legal process for or against such person. </w:t>
      </w:r>
    </w:p>
    <w:p>
      <w:pPr>
        <w:pStyle w:val="TextBody"/>
        <w:bidi w:val="0"/>
        <w:spacing w:before="240" w:after="0"/>
        <w:jc w:val="left"/>
        <w:rPr>
          <w:rFonts w:ascii="Times New Roman" w:hAnsi="Times New Roman"/>
          <w:sz w:val="20"/>
        </w:rPr>
      </w:pPr>
      <w:r>
        <w:rPr>
          <w:rFonts w:ascii="Times New Roman" w:hAnsi="Times New Roman"/>
          <w:b/>
          <w:sz w:val="20"/>
        </w:rPr>
        <w:t>13.7</w:t>
      </w:r>
      <w:r>
        <w:rPr>
          <w:rFonts w:ascii="Times New Roman" w:hAnsi="Times New Roman"/>
          <w:sz w:val="20"/>
        </w:rPr>
        <w:t xml:space="preserve"> </w:t>
      </w:r>
      <w:r>
        <w:rPr>
          <w:rFonts w:ascii="Times New Roman" w:hAnsi="Times New Roman"/>
          <w:b/>
          <w:sz w:val="20"/>
          <w:u w:val="single"/>
        </w:rPr>
        <w:t>Clawbacks; Detrimental Conduct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Clawbacks</w:t>
      </w:r>
      <w:r>
        <w:rPr>
          <w:rFonts w:ascii="Times New Roman" w:hAnsi="Times New Roman"/>
          <w:sz w:val="20"/>
        </w:rPr>
        <w:t xml:space="preserve">. All awards, amounts, or benefits received or outstanding under this Plan will be subject to clawback, cancellation, recoupment, rescission, payback, reduction, or other similar action in accordance with any Company clawback or similar policy or any Applicable Law related to such actions. A Participant’s acceptance of an Award will constitute the Participant’s acknowledgement of and consent to the Company’s application, implementation, and enforcement of any applicable Company clawback or similar policy that may apply to the Participant, whether adopted before or after the Effective Date, and any Applicable Law relating to clawback, cancellation, recoupment, rescission, payback, or reduction of compensation, and the Participant’s agreement that the Company may take any actions that may be necessary to effectuate any such policy or Applicable Law, without further consideration or 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Detrimental Conduct</w:t>
      </w:r>
      <w:r>
        <w:rPr>
          <w:rFonts w:ascii="Times New Roman" w:hAnsi="Times New Roman"/>
          <w:sz w:val="20"/>
        </w:rPr>
        <w:t xml:space="preserve">. Except as otherwise determined by the Committee, notwithstanding any other term or condition of this Plan, if a Participant engages in Detrimental Conduct, whether during or after the Participant’s service, in addition to any other penalties or restrictions that may apply under this Plan, Applicable Law or otherwise, the Participant must forfeit or pay to the Company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and all outstanding Awards granted to the Participant, including Awards that have become vested or exercisable;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cash or Shares received by the Participant in connection with this Plan within the twenty-four (24)-month period immediately before the date the Company determines the Participant has engaged in Detrimental Conduct; and </w:t>
      </w:r>
    </w:p>
    <w:p>
      <w:pPr>
        <w:pStyle w:val="TextBody"/>
        <w:bidi w:val="0"/>
        <w:spacing w:before="120" w:after="0"/>
        <w:jc w:val="left"/>
        <w:rPr>
          <w:rFonts w:ascii="Times New Roman" w:hAnsi="Times New Roman"/>
          <w:sz w:val="20"/>
        </w:rPr>
      </w:pPr>
      <w:r>
        <w:rPr>
          <w:rFonts w:ascii="Times New Roman" w:hAnsi="Times New Roman"/>
          <w:sz w:val="20"/>
        </w:rPr>
        <w:t xml:space="preserve">(iii) the profit realized by the Participant from the sale, or other disposition for consideration, of any Shares received by the Participant under this Plan within the 36-month period immediately before the date the Company determines the Participant has engaged in Detrimental Conduct. </w:t>
      </w:r>
    </w:p>
    <w:p>
      <w:pPr>
        <w:pStyle w:val="TextBody"/>
        <w:bidi w:val="0"/>
        <w:spacing w:before="240" w:after="0"/>
        <w:jc w:val="left"/>
        <w:rPr>
          <w:rFonts w:ascii="Times New Roman" w:hAnsi="Times New Roman"/>
          <w:sz w:val="20"/>
        </w:rPr>
      </w:pPr>
      <w:r>
        <w:rPr>
          <w:rFonts w:ascii="Times New Roman" w:hAnsi="Times New Roman"/>
          <w:b/>
          <w:sz w:val="20"/>
        </w:rPr>
        <w:t>13.8</w:t>
      </w:r>
      <w:r>
        <w:rPr>
          <w:rFonts w:ascii="Times New Roman" w:hAnsi="Times New Roman"/>
          <w:sz w:val="20"/>
        </w:rPr>
        <w:t xml:space="preserve"> </w:t>
      </w:r>
      <w:r>
        <w:rPr>
          <w:rFonts w:ascii="Times New Roman" w:hAnsi="Times New Roman"/>
          <w:b/>
          <w:sz w:val="20"/>
          <w:u w:val="single"/>
        </w:rPr>
        <w:t>Listing and Other Conditions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Unless otherwise determined by the Committee, as long as the Common Stock is listed on a national securities exchange or system sponsored by a national securities association, the issuance of Shares pursuant to an Award shall be conditioned upon such Shares being listed on such exchange or system. The Company shall have no obligation to issue such Shares unless and until such Shares are so listed, and the right to exercise any Option or other Award with respect to such Shares shall be suspended until such listing has been effected. </w:t>
      </w:r>
    </w:p>
    <w:p>
      <w:pPr>
        <w:pStyle w:val="TextBody"/>
        <w:bidi w:val="0"/>
        <w:spacing w:before="240" w:after="0"/>
        <w:jc w:val="left"/>
        <w:rPr>
          <w:rFonts w:ascii="Times New Roman" w:hAnsi="Times New Roman"/>
          <w:sz w:val="20"/>
        </w:rPr>
      </w:pPr>
      <w:r>
        <w:rPr>
          <w:rFonts w:ascii="Times New Roman" w:hAnsi="Times New Roman"/>
          <w:sz w:val="20"/>
        </w:rPr>
        <w:t xml:space="preserve">(b) If at any time counsel to the Company advises the Company that any sale or delivery of Shares pursuant to an Award is or may in the circumstances be unlawful or result in the imposition of excise taxes on the Company under Applicable Law, the Company shall have no obligation to make such sale or delivery, or to make any application or to effect or to maintain any qualification or registration under the Securities Act or otherwise, with respect to Shares or Awards, and the right to exercise any Option or other Award shall be suspended until, based on the advice of said counsel, such sale or delivery shall be lawful or will not result in the imposition of excise taxes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(c) Upon termination of any period of suspension under this Section 13.8, any Award affected by such suspension which shall not then have expired or terminated shall be reinstated as to all Shares available before such suspension and as to Shares which would otherwise have become available during the period of such suspension, but no such suspension shall extend the term of any Award. </w:t>
      </w:r>
    </w:p>
    <w:p>
      <w:pPr>
        <w:pStyle w:val="TextBody"/>
        <w:bidi w:val="0"/>
        <w:spacing w:before="240" w:after="0"/>
        <w:jc w:val="left"/>
        <w:rPr>
          <w:rFonts w:ascii="Times New Roman" w:hAnsi="Times New Roman"/>
          <w:sz w:val="20"/>
        </w:rPr>
      </w:pPr>
      <w:r>
        <w:rPr>
          <w:rFonts w:ascii="Times New Roman" w:hAnsi="Times New Roman"/>
          <w:sz w:val="20"/>
        </w:rPr>
        <w:t xml:space="preserve">(d) A Participant shall be required to supply the Company with certificates, representations, and information that the Company requests and otherwise cooperate with the Company in obtaining any listing, registration, qualification, exemption, consent, or approval that the Company deems necessary or appropriate. </w:t>
      </w:r>
    </w:p>
    <w:p>
      <w:pPr>
        <w:pStyle w:val="TextBody"/>
        <w:bidi w:val="0"/>
        <w:spacing w:before="240" w:after="0"/>
        <w:jc w:val="left"/>
        <w:rPr>
          <w:rFonts w:ascii="Times New Roman" w:hAnsi="Times New Roman"/>
          <w:sz w:val="20"/>
        </w:rPr>
      </w:pPr>
      <w:r>
        <w:rPr>
          <w:rFonts w:ascii="Times New Roman" w:hAnsi="Times New Roman"/>
          <w:b/>
          <w:sz w:val="20"/>
        </w:rPr>
        <w:t>13.9</w:t>
      </w:r>
      <w:r>
        <w:rPr>
          <w:rFonts w:ascii="Times New Roman" w:hAnsi="Times New Roman"/>
          <w:sz w:val="20"/>
        </w:rPr>
        <w:t xml:space="preserve"> </w:t>
      </w:r>
      <w:r>
        <w:rPr>
          <w:rFonts w:ascii="Times New Roman" w:hAnsi="Times New Roman"/>
          <w:b/>
          <w:sz w:val="20"/>
          <w:u w:val="single"/>
        </w:rPr>
        <w:t>Governing Law</w:t>
      </w:r>
      <w:r>
        <w:rPr>
          <w:rFonts w:ascii="Times New Roman" w:hAnsi="Times New Roman"/>
          <w:sz w:val="20"/>
        </w:rPr>
        <w:t xml:space="preserve">. This Plan and actions taken in connection herewith shall be governed and construed in accordance with the laws of the State of Delaware, without reference to principles of conflict of laws. </w:t>
      </w:r>
    </w:p>
    <w:p>
      <w:pPr>
        <w:pStyle w:val="TextBody"/>
        <w:bidi w:val="0"/>
        <w:spacing w:before="240" w:after="0"/>
        <w:jc w:val="left"/>
        <w:rPr>
          <w:rFonts w:ascii="Times New Roman" w:hAnsi="Times New Roman"/>
          <w:sz w:val="20"/>
        </w:rPr>
      </w:pPr>
      <w:r>
        <w:rPr>
          <w:rFonts w:ascii="Times New Roman" w:hAnsi="Times New Roman"/>
          <w:b/>
          <w:sz w:val="20"/>
        </w:rPr>
        <w:t>13.10</w:t>
      </w:r>
      <w:r>
        <w:rPr>
          <w:rFonts w:ascii="Times New Roman" w:hAnsi="Times New Roman"/>
          <w:sz w:val="20"/>
        </w:rPr>
        <w:t xml:space="preserve"> </w:t>
      </w:r>
      <w:r>
        <w:rPr>
          <w:rFonts w:ascii="Times New Roman" w:hAnsi="Times New Roman"/>
          <w:b/>
          <w:sz w:val="20"/>
          <w:u w:val="single"/>
        </w:rPr>
        <w:t>Construction</w:t>
      </w:r>
      <w:r>
        <w:rPr>
          <w:rFonts w:ascii="Times New Roman" w:hAnsi="Times New Roman"/>
          <w:sz w:val="20"/>
        </w:rPr>
        <w:t xml:space="preserve">. Wherever any words are used in this Plan in the masculine gender they shall be construed as though they were also used in the feminine gender in all cases where they would so apply, and wherever words are used herein in the singular form they shall be construed as though they were also used in the plural form in all cases where they would so apply.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13.11</w:t>
      </w:r>
      <w:r>
        <w:rPr>
          <w:rFonts w:ascii="Times New Roman" w:hAnsi="Times New Roman"/>
          <w:sz w:val="20"/>
        </w:rPr>
        <w:t xml:space="preserve"> </w:t>
      </w:r>
      <w:r>
        <w:rPr>
          <w:rFonts w:ascii="Times New Roman" w:hAnsi="Times New Roman"/>
          <w:b/>
          <w:sz w:val="20"/>
          <w:u w:val="single"/>
        </w:rPr>
        <w:t>Other Benefits</w:t>
      </w:r>
      <w:r>
        <w:rPr>
          <w:rFonts w:ascii="Times New Roman" w:hAnsi="Times New Roman"/>
          <w:sz w:val="20"/>
        </w:rPr>
        <w:t xml:space="preserve">. No Award granted or paid out under this Plan shall be deemed compensation for purposes of computing benefits under any retirement plan of the Company or its Affiliates or affect any benefit or compensation under any other plan now or subsequently in effect under which the availability or amount of benefits is related to the level of compensation. </w:t>
      </w:r>
    </w:p>
    <w:p>
      <w:pPr>
        <w:pStyle w:val="TextBody"/>
        <w:bidi w:val="0"/>
        <w:spacing w:before="240" w:after="0"/>
        <w:jc w:val="left"/>
        <w:rPr>
          <w:rFonts w:ascii="Times New Roman" w:hAnsi="Times New Roman"/>
          <w:sz w:val="20"/>
        </w:rPr>
      </w:pPr>
      <w:r>
        <w:rPr>
          <w:rFonts w:ascii="Times New Roman" w:hAnsi="Times New Roman"/>
          <w:b/>
          <w:sz w:val="20"/>
        </w:rPr>
        <w:t>13.12</w:t>
      </w:r>
      <w:r>
        <w:rPr>
          <w:rFonts w:ascii="Times New Roman" w:hAnsi="Times New Roman"/>
          <w:sz w:val="20"/>
        </w:rPr>
        <w:t xml:space="preserve"> </w:t>
      </w:r>
      <w:r>
        <w:rPr>
          <w:rFonts w:ascii="Times New Roman" w:hAnsi="Times New Roman"/>
          <w:b/>
          <w:sz w:val="20"/>
          <w:u w:val="single"/>
        </w:rPr>
        <w:t>Costs</w:t>
      </w:r>
      <w:r>
        <w:rPr>
          <w:rFonts w:ascii="Times New Roman" w:hAnsi="Times New Roman"/>
          <w:sz w:val="20"/>
        </w:rPr>
        <w:t xml:space="preserve">. The Company shall bear all expenses associated with administering this Plan, including expenses of issuing Shares pursuant to Awards hereunder. </w:t>
      </w:r>
    </w:p>
    <w:p>
      <w:pPr>
        <w:pStyle w:val="TextBody"/>
        <w:bidi w:val="0"/>
        <w:spacing w:before="240" w:after="0"/>
        <w:jc w:val="left"/>
        <w:rPr>
          <w:rFonts w:ascii="Times New Roman" w:hAnsi="Times New Roman"/>
          <w:sz w:val="20"/>
        </w:rPr>
      </w:pPr>
      <w:r>
        <w:rPr>
          <w:rFonts w:ascii="Times New Roman" w:hAnsi="Times New Roman"/>
          <w:b/>
          <w:sz w:val="20"/>
        </w:rPr>
        <w:t>13.13</w:t>
      </w:r>
      <w:r>
        <w:rPr>
          <w:rFonts w:ascii="Times New Roman" w:hAnsi="Times New Roman"/>
          <w:sz w:val="20"/>
        </w:rPr>
        <w:t xml:space="preserve"> </w:t>
      </w:r>
      <w:r>
        <w:rPr>
          <w:rFonts w:ascii="Times New Roman" w:hAnsi="Times New Roman"/>
          <w:b/>
          <w:sz w:val="20"/>
          <w:u w:val="single"/>
        </w:rPr>
        <w:t>No Right to Same Benefits</w:t>
      </w:r>
      <w:r>
        <w:rPr>
          <w:rFonts w:ascii="Times New Roman" w:hAnsi="Times New Roman"/>
          <w:sz w:val="20"/>
        </w:rPr>
        <w:t xml:space="preserve">. The provisions of Awards need not be the same with respect to each Participant, and such Awards to individual Participants need not be the same in subsequent years. </w:t>
      </w:r>
    </w:p>
    <w:p>
      <w:pPr>
        <w:pStyle w:val="TextBody"/>
        <w:bidi w:val="0"/>
        <w:spacing w:before="240" w:after="0"/>
        <w:jc w:val="left"/>
        <w:rPr>
          <w:rFonts w:ascii="Times New Roman" w:hAnsi="Times New Roman"/>
          <w:sz w:val="20"/>
        </w:rPr>
      </w:pPr>
      <w:r>
        <w:rPr>
          <w:rFonts w:ascii="Times New Roman" w:hAnsi="Times New Roman"/>
          <w:b/>
          <w:sz w:val="20"/>
        </w:rPr>
        <w:t>13.14</w:t>
      </w:r>
      <w:r>
        <w:rPr>
          <w:rFonts w:ascii="Times New Roman" w:hAnsi="Times New Roman"/>
          <w:sz w:val="20"/>
        </w:rPr>
        <w:t xml:space="preserve"> </w:t>
      </w:r>
      <w:r>
        <w:rPr>
          <w:rFonts w:ascii="Times New Roman" w:hAnsi="Times New Roman"/>
          <w:b/>
          <w:sz w:val="20"/>
          <w:u w:val="single"/>
        </w:rPr>
        <w:t>Death/Disability</w:t>
      </w:r>
      <w:r>
        <w:rPr>
          <w:rFonts w:ascii="Times New Roman" w:hAnsi="Times New Roman"/>
          <w:sz w:val="20"/>
        </w:rPr>
        <w:t xml:space="preserve">. The Committee may in its discretion require the transferee of a Participant to supply it with written notice of the Participant’s death or Disability and to supply it with a copy of the will (in the case of the Participant’s death) or such other evidence as the Committee deems necessary to establish the validity of the transfer of an Award. The Committee may also require the agreement of the transferee to be bound by all of the terms and conditions of this Plan. </w:t>
      </w:r>
    </w:p>
    <w:p>
      <w:pPr>
        <w:pStyle w:val="TextBody"/>
        <w:bidi w:val="0"/>
        <w:spacing w:before="240" w:after="0"/>
        <w:jc w:val="left"/>
        <w:rPr>
          <w:rFonts w:ascii="Times New Roman" w:hAnsi="Times New Roman"/>
          <w:sz w:val="20"/>
        </w:rPr>
      </w:pPr>
      <w:r>
        <w:rPr>
          <w:rFonts w:ascii="Times New Roman" w:hAnsi="Times New Roman"/>
          <w:b/>
          <w:sz w:val="20"/>
        </w:rPr>
        <w:t>13.15</w:t>
      </w:r>
      <w:r>
        <w:rPr>
          <w:rFonts w:ascii="Times New Roman" w:hAnsi="Times New Roman"/>
          <w:sz w:val="20"/>
        </w:rPr>
        <w:t xml:space="preserve"> </w:t>
      </w:r>
      <w:r>
        <w:rPr>
          <w:rFonts w:ascii="Times New Roman" w:hAnsi="Times New Roman"/>
          <w:b/>
          <w:sz w:val="20"/>
          <w:u w:val="single"/>
        </w:rPr>
        <w:t>Section 16(b) of the Exchange Act</w:t>
      </w:r>
      <w:r>
        <w:rPr>
          <w:rFonts w:ascii="Times New Roman" w:hAnsi="Times New Roman"/>
          <w:sz w:val="20"/>
        </w:rPr>
        <w:t xml:space="preserve">. It is the intent of the Company that this Plan satisfy, and be interpreted in a manner that satisfies, the applicable requirements of Rule 16b-3 as promulgated under Section 16 of the Exchange Act so that Participants will be entitled to the benefit of Rule 16b-3, or any other rule promulgated under Section 16 of the Exchange Act, and will not be subject to short-swing liability under Section 16 of the Exchange Act. Accordingly, if the operation of any provision of this Plan would conflict with the intent expressed in this Section 13.15, such provision to the extent possible shall be interpreted and/or deemed amended so as to avoid such conflict. </w:t>
      </w:r>
    </w:p>
    <w:p>
      <w:pPr>
        <w:pStyle w:val="TextBody"/>
        <w:bidi w:val="0"/>
        <w:spacing w:before="240" w:after="0"/>
        <w:jc w:val="left"/>
        <w:rPr>
          <w:rFonts w:ascii="Times New Roman" w:hAnsi="Times New Roman"/>
          <w:sz w:val="20"/>
        </w:rPr>
      </w:pPr>
      <w:r>
        <w:rPr>
          <w:rFonts w:ascii="Times New Roman" w:hAnsi="Times New Roman"/>
          <w:b/>
          <w:sz w:val="20"/>
        </w:rPr>
        <w:t>13.16</w:t>
      </w:r>
      <w:r>
        <w:rPr>
          <w:rFonts w:ascii="Times New Roman" w:hAnsi="Times New Roman"/>
          <w:sz w:val="20"/>
        </w:rPr>
        <w:t xml:space="preserve"> </w:t>
      </w:r>
      <w:r>
        <w:rPr>
          <w:rFonts w:ascii="Times New Roman" w:hAnsi="Times New Roman"/>
          <w:b/>
          <w:sz w:val="20"/>
          <w:u w:val="single"/>
        </w:rPr>
        <w:t>Deferral of Awards</w:t>
      </w:r>
      <w:r>
        <w:rPr>
          <w:rFonts w:ascii="Times New Roman" w:hAnsi="Times New Roman"/>
          <w:sz w:val="20"/>
        </w:rPr>
        <w:t xml:space="preserve">. The Committee may establish one or more programs under this Plan to permit selected Participants the opportunity to elect to defer receipt of consideration upon exercise of an Award, satisfaction of performance criteria, or other event that absent the election would entitle the Participant to payment or receipt of Shares or other consideration under an Award. The Committee may establish the election procedures, the timing of such elections, the mechanisms for payments of, and accrual of interest or other earnings, if any, on amounts, Shares or other consideration so deferred, and such other terms, conditions, rules, and procedures that the Committee deems advisable for the administration of any such deferral program. </w:t>
      </w:r>
    </w:p>
    <w:p>
      <w:pPr>
        <w:pStyle w:val="TextBody"/>
        <w:bidi w:val="0"/>
        <w:spacing w:before="240" w:after="0"/>
        <w:jc w:val="left"/>
        <w:rPr>
          <w:rFonts w:ascii="Times New Roman" w:hAnsi="Times New Roman"/>
          <w:sz w:val="20"/>
        </w:rPr>
      </w:pPr>
      <w:r>
        <w:rPr>
          <w:rFonts w:ascii="Times New Roman" w:hAnsi="Times New Roman"/>
          <w:b/>
          <w:sz w:val="20"/>
        </w:rPr>
        <w:t>13.17</w:t>
      </w:r>
      <w:r>
        <w:rPr>
          <w:rFonts w:ascii="Times New Roman" w:hAnsi="Times New Roman"/>
          <w:sz w:val="20"/>
        </w:rPr>
        <w:t xml:space="preserve"> </w:t>
      </w:r>
      <w:r>
        <w:rPr>
          <w:rFonts w:ascii="Times New Roman" w:hAnsi="Times New Roman"/>
          <w:b/>
          <w:sz w:val="20"/>
          <w:u w:val="single"/>
        </w:rPr>
        <w:t>Section 409A of the Code</w:t>
      </w:r>
      <w:r>
        <w:rPr>
          <w:rFonts w:ascii="Times New Roman" w:hAnsi="Times New Roman"/>
          <w:sz w:val="20"/>
        </w:rPr>
        <w:t xml:space="preserve">. This Plan and Awards are intended to comply with or be exempt from the applicable requirements of Section 409A of the Code and shall be limited, construed, and interpreted in accordance with such intent. To the extent that any Award is subject to Section 409A of the Code, it shall be paid in a manner that will comply with Section 409A of the Code. Notwithstanding anything herein to the contrary, any provision in this Plan that is inconsistent with Section 409A of the Code shall be deemed to be amended to comply with or be exempt from Section 409A of the Code and, to the extent such provision cannot be amended to comply therewith or be exempt therefrom, such provision shall be null and void. The Company shall have no liability to a Participant, or any other party, if an Award that is intended to be exempt from, or compliant with, Section 409A of the Code is not so exempt or compliant or for any action taken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Committee or the Company and, in the event that any amount or benefit under this Plan becomes subject to penalties under Section 409A of the Code, responsibility for payment of such penalties shall rest solely with the affected Participants and not with the Company. Notwithstanding any contrary provision in this Plan or Award Agreement, any payment(s) of “nonqualified deferred compensation” (within the meaning of Section 409A of the Code) that are otherwise required to be made under this Plan to a “specified employee” (as defined under Section 409A of the Code) as a result of such employee’s separation from service (other than a payment that is not subject to Section 409A of the Code) shall be delayed for the first six (6) months following such separation from service (or, if earlier, until the date of death of the specified employee) and shall instead be paid (in a manner set forth in the Award Agreement) upon expiration of such delay period. </w:t>
      </w:r>
    </w:p>
    <w:p>
      <w:pPr>
        <w:pStyle w:val="TextBody"/>
        <w:bidi w:val="0"/>
        <w:spacing w:before="240" w:after="0"/>
        <w:jc w:val="left"/>
        <w:rPr>
          <w:rFonts w:ascii="Times New Roman" w:hAnsi="Times New Roman"/>
          <w:sz w:val="20"/>
        </w:rPr>
      </w:pPr>
      <w:r>
        <w:rPr>
          <w:rFonts w:ascii="Times New Roman" w:hAnsi="Times New Roman"/>
          <w:b/>
          <w:sz w:val="20"/>
        </w:rPr>
        <w:t>13.18</w:t>
      </w:r>
      <w:r>
        <w:rPr>
          <w:rFonts w:ascii="Times New Roman" w:hAnsi="Times New Roman"/>
          <w:sz w:val="20"/>
        </w:rPr>
        <w:t xml:space="preserve"> </w:t>
      </w:r>
      <w:r>
        <w:rPr>
          <w:rFonts w:ascii="Times New Roman" w:hAnsi="Times New Roman"/>
          <w:b/>
          <w:sz w:val="20"/>
          <w:u w:val="single"/>
        </w:rPr>
        <w:t>Data Privacy</w:t>
      </w:r>
      <w:r>
        <w:rPr>
          <w:rFonts w:ascii="Times New Roman" w:hAnsi="Times New Roman"/>
          <w:sz w:val="20"/>
        </w:rPr>
        <w:t>. As a condition of receipt of any Award, each Participant explicitly and unambiguously consents to the collection, use, and transfer, in electronic or other form, of personal data as described in this Section 13.18 by and among, as applicable, the Company and its Affiliates, for the exclusive purpose of implementing, administering, and managing this Plan and Awards and the Participant’s participation in this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hAnsi="Times New Roman"/>
          <w:b/>
          <w:sz w:val="20"/>
          <w:u w:val="single"/>
        </w:rPr>
        <w:t>Data</w:t>
      </w:r>
      <w:r>
        <w:rPr>
          <w:rFonts w:ascii="Times New Roman" w:hAnsi="Times New Roman"/>
          <w:sz w:val="20"/>
        </w:rPr>
        <w:t xml:space="preserve">”). In addition to transferring the Data amongst themselves as necessary for the purpose of implementation, administration, and management of this Plan and Awards and the Participant’s participation in this Plan, the Company and its Affiliates may each transfer the Data to any third parties assisting the Company in the implementation, administration, and management of this Plan and Awards and the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this Plan and Awards and the Participant’s participation in this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this Plan and Awards and the Participant’s participation in this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this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 </w:t>
      </w:r>
    </w:p>
    <w:p>
      <w:pPr>
        <w:pStyle w:val="TextBody"/>
        <w:bidi w:val="0"/>
        <w:spacing w:before="240" w:after="0"/>
        <w:jc w:val="left"/>
        <w:rPr>
          <w:rFonts w:ascii="Times New Roman" w:hAnsi="Times New Roman"/>
          <w:sz w:val="20"/>
        </w:rPr>
      </w:pPr>
      <w:r>
        <w:rPr>
          <w:rFonts w:ascii="Times New Roman" w:hAnsi="Times New Roman"/>
          <w:b/>
          <w:sz w:val="20"/>
        </w:rPr>
        <w:t>13.19</w:t>
      </w:r>
      <w:r>
        <w:rPr>
          <w:rFonts w:ascii="Times New Roman" w:hAnsi="Times New Roman"/>
          <w:sz w:val="20"/>
        </w:rPr>
        <w:t xml:space="preserve"> </w:t>
      </w:r>
      <w:r>
        <w:rPr>
          <w:rFonts w:ascii="Times New Roman" w:hAnsi="Times New Roman"/>
          <w:b/>
          <w:sz w:val="20"/>
          <w:u w:val="single"/>
        </w:rPr>
        <w:t>Successor and Assigns</w:t>
      </w:r>
      <w:r>
        <w:rPr>
          <w:rFonts w:ascii="Times New Roman" w:hAnsi="Times New Roman"/>
          <w:sz w:val="20"/>
        </w:rPr>
        <w:t xml:space="preserve">. This Plan shall be binding on all successors and permitted assigns of a Participant, including, without limitation, the estate of such Participant and the executor, administrator, or trustee of such estate.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13.20</w:t>
      </w:r>
      <w:r>
        <w:rPr>
          <w:rFonts w:ascii="Times New Roman" w:hAnsi="Times New Roman"/>
          <w:sz w:val="20"/>
        </w:rPr>
        <w:t xml:space="preserve"> </w:t>
      </w:r>
      <w:r>
        <w:rPr>
          <w:rFonts w:ascii="Times New Roman" w:hAnsi="Times New Roman"/>
          <w:b/>
          <w:sz w:val="20"/>
          <w:u w:val="single"/>
        </w:rPr>
        <w:t>Severability of Provisions</w:t>
      </w:r>
      <w:r>
        <w:rPr>
          <w:rFonts w:ascii="Times New Roman" w:hAnsi="Times New Roman"/>
          <w:sz w:val="20"/>
        </w:rPr>
        <w:t xml:space="preserve">. If any provision of this Plan shall be held invalid or unenforceable, such invalidity or unenforceability shall not affect any other provisions hereof, and this Plan shall be construed and enforced as if such provisions had not been included. </w:t>
      </w:r>
    </w:p>
    <w:p>
      <w:pPr>
        <w:pStyle w:val="TextBody"/>
        <w:bidi w:val="0"/>
        <w:spacing w:before="240" w:after="0"/>
        <w:jc w:val="left"/>
        <w:rPr>
          <w:rFonts w:ascii="Times New Roman" w:hAnsi="Times New Roman"/>
          <w:sz w:val="20"/>
        </w:rPr>
      </w:pPr>
      <w:r>
        <w:rPr>
          <w:rFonts w:ascii="Times New Roman" w:hAnsi="Times New Roman"/>
          <w:b/>
          <w:sz w:val="20"/>
        </w:rPr>
        <w:t>13.21</w:t>
      </w:r>
      <w:r>
        <w:rPr>
          <w:rFonts w:ascii="Times New Roman" w:hAnsi="Times New Roman"/>
          <w:sz w:val="20"/>
        </w:rPr>
        <w:t xml:space="preserve"> </w:t>
      </w:r>
      <w:r>
        <w:rPr>
          <w:rFonts w:ascii="Times New Roman" w:hAnsi="Times New Roman"/>
          <w:b/>
          <w:sz w:val="20"/>
          <w:u w:val="single"/>
        </w:rPr>
        <w:t>Headings and Captions</w:t>
      </w:r>
      <w:r>
        <w:rPr>
          <w:rFonts w:ascii="Times New Roman" w:hAnsi="Times New Roman"/>
          <w:sz w:val="20"/>
        </w:rPr>
        <w:t xml:space="preserve">. The headings and captions herein are provided for reference and convenience only, shall not be considered part of this Plan, and shall not be employed in the construction of this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XIV </w:t>
      </w:r>
    </w:p>
    <w:p>
      <w:pPr>
        <w:pStyle w:val="TextBody"/>
        <w:bidi w:val="0"/>
        <w:spacing w:before="0" w:after="0"/>
        <w:jc w:val="center"/>
        <w:rPr>
          <w:rFonts w:ascii="Times New Roman" w:hAnsi="Times New Roman"/>
          <w:b/>
          <w:sz w:val="20"/>
        </w:rPr>
      </w:pPr>
      <w:r>
        <w:rPr>
          <w:rFonts w:ascii="Times New Roman" w:hAnsi="Times New Roman"/>
          <w:b/>
          <w:sz w:val="20"/>
        </w:rPr>
        <w:t xml:space="preserve">EFFECTIVE DATE OF PLAN </w:t>
      </w:r>
    </w:p>
    <w:p>
      <w:pPr>
        <w:pStyle w:val="TextBody"/>
        <w:bidi w:val="0"/>
        <w:spacing w:before="240" w:after="0"/>
        <w:jc w:val="left"/>
        <w:rPr>
          <w:rFonts w:ascii="Times New Roman" w:hAnsi="Times New Roman"/>
          <w:sz w:val="20"/>
        </w:rPr>
      </w:pPr>
      <w:r>
        <w:rPr>
          <w:rFonts w:ascii="Times New Roman" w:hAnsi="Times New Roman"/>
          <w:sz w:val="20"/>
        </w:rPr>
        <w:t xml:space="preserve">This Plan was adopted by the Board on June 5, 2026, subject to the approval of this Plan by the stockholders of the Company in accordance with the requirements of the laws of the State of Delaware, to be effective on June 30, 2026.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XV </w:t>
      </w:r>
    </w:p>
    <w:p>
      <w:pPr>
        <w:pStyle w:val="TextBody"/>
        <w:bidi w:val="0"/>
        <w:spacing w:before="0" w:after="0"/>
        <w:jc w:val="center"/>
        <w:rPr>
          <w:rFonts w:ascii="Times New Roman" w:hAnsi="Times New Roman"/>
          <w:b/>
          <w:sz w:val="20"/>
        </w:rPr>
      </w:pPr>
      <w:r>
        <w:rPr>
          <w:rFonts w:ascii="Times New Roman" w:hAnsi="Times New Roman"/>
          <w:b/>
          <w:sz w:val="20"/>
        </w:rPr>
        <w:t xml:space="preserve">TERM OF PLAN </w:t>
      </w:r>
    </w:p>
    <w:p>
      <w:pPr>
        <w:pStyle w:val="TextBody"/>
        <w:bidi w:val="0"/>
        <w:spacing w:before="240" w:after="0"/>
        <w:jc w:val="left"/>
        <w:rPr>
          <w:rFonts w:ascii="Times New Roman" w:hAnsi="Times New Roman"/>
          <w:sz w:val="20"/>
        </w:rPr>
      </w:pPr>
      <w:r>
        <w:rPr>
          <w:rFonts w:ascii="Times New Roman" w:hAnsi="Times New Roman"/>
          <w:sz w:val="20"/>
        </w:rPr>
        <w:t xml:space="preserve">No Award shall be granted pursuant to this Plan on or after the tenth (10th) anniversary of the earlier of the date that this Plan is adopted by the Board or the date of stockholder approval, but Awards granted prior to such tenth (10th) anniversary may extend beyond that date. </w:t>
      </w:r>
    </w:p>
    <w:p>
      <w:pPr>
        <w:pStyle w:val="TextBody"/>
        <w:bidi w:val="0"/>
        <w:spacing w:before="240" w:after="0"/>
        <w:jc w:val="center"/>
        <w:rPr>
          <w:rFonts w:ascii="Times New Roman" w:hAnsi="Times New Roman"/>
          <w:b/>
          <w:sz w:val="20"/>
        </w:rPr>
      </w:pPr>
      <w:r>
        <w:rPr>
          <w:rFonts w:ascii="Times New Roman" w:hAnsi="Times New Roman"/>
          <w:b/>
          <w:sz w:val="20"/>
        </w:rPr>
        <w:t xml:space="preserve">* * * * *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p>
    <w:p>
      <w:pPr>
        <w:pStyle w:val="TextBody"/>
        <w:bidi w:val="0"/>
        <w:spacing w:before="0" w:after="0"/>
        <w:jc w:val="right"/>
        <w:rPr>
          <w:rFonts w:ascii="Times New Roman" w:hAnsi="Times New Roman"/>
          <w:b/>
          <w:sz w:val="20"/>
        </w:rPr>
      </w:pPr>
      <w:bookmarkStart w:id="9" w:name="d63178dex51.htm"/>
      <w:bookmarkStart w:id="10" w:name="ksd63178dex51"/>
      <w:bookmarkEnd w:id="9"/>
      <w:bookmarkEnd w:id="10"/>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26695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
                    <a:stretch>
                      <a:fillRect/>
                    </a:stretch>
                  </pic:blipFill>
                  <pic:spPr bwMode="auto">
                    <a:xfrm>
                      <a:off x="0" y="0"/>
                      <a:ext cx="2266950" cy="22860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sz w:val="20"/>
        </w:rPr>
      </w:pPr>
      <w:r>
        <w:rPr>
          <w:rFonts w:ascii="Times New Roman" w:hAnsi="Times New Roman"/>
          <w:sz w:val="20"/>
        </w:rPr>
        <w:t xml:space="preserve">601 Lexington Avenue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10022 </w:t>
      </w:r>
    </w:p>
    <w:p>
      <w:pPr>
        <w:pStyle w:val="TextBody"/>
        <w:bidi w:val="0"/>
        <w:spacing w:before="0" w:after="0"/>
        <w:jc w:val="center"/>
        <w:rPr>
          <w:rFonts w:ascii="Times New Roman" w:hAnsi="Times New Roman"/>
          <w:sz w:val="20"/>
        </w:rPr>
      </w:pPr>
      <w:r>
        <w:rPr>
          <w:rFonts w:ascii="Times New Roman" w:hAnsi="Times New Roman"/>
          <w:sz w:val="20"/>
        </w:rPr>
        <w:t xml:space="preserve">United States </w:t>
      </w:r>
    </w:p>
    <w:p>
      <w:pPr>
        <w:pStyle w:val="TextBody"/>
        <w:bidi w:val="0"/>
        <w:spacing w:before="120" w:after="0"/>
        <w:jc w:val="center"/>
        <w:rPr>
          <w:rFonts w:ascii="Times New Roman" w:hAnsi="Times New Roman"/>
          <w:sz w:val="20"/>
        </w:rPr>
      </w:pPr>
      <w:r>
        <w:rPr>
          <w:rFonts w:ascii="Times New Roman" w:hAnsi="Times New Roman"/>
          <w:sz w:val="20"/>
        </w:rPr>
        <w:t xml:space="preserve">+1 212 446 4800 </w:t>
      </w:r>
    </w:p>
    <w:p>
      <w:pPr>
        <w:pStyle w:val="TextBody"/>
        <w:bidi w:val="0"/>
        <w:spacing w:before="120" w:after="0"/>
        <w:jc w:val="center"/>
        <w:rPr>
          <w:rFonts w:ascii="Times New Roman" w:hAnsi="Times New Roman"/>
          <w:sz w:val="20"/>
        </w:rPr>
      </w:pPr>
      <w:r>
        <w:rPr>
          <w:rFonts w:ascii="Times New Roman" w:hAnsi="Times New Roman"/>
          <w:sz w:val="20"/>
        </w:rPr>
        <w:t xml:space="preserve">www.kirkland.com </w:t>
      </w:r>
    </w:p>
    <w:p>
      <w:pPr>
        <w:pStyle w:val="TextBody"/>
        <w:bidi w:val="0"/>
        <w:spacing w:before="120" w:after="0"/>
        <w:jc w:val="center"/>
        <w:rPr>
          <w:rFonts w:ascii="Times New Roman" w:hAnsi="Times New Roman"/>
          <w:sz w:val="20"/>
        </w:rPr>
      </w:pPr>
      <w:r>
        <w:rPr>
          <w:rFonts w:ascii="Times New Roman" w:hAnsi="Times New Roman"/>
          <w:sz w:val="20"/>
        </w:rPr>
        <w:t xml:space="preserve">July 2, 2026 </w:t>
      </w:r>
    </w:p>
    <w:p>
      <w:pPr>
        <w:pStyle w:val="TextBody"/>
        <w:bidi w:val="0"/>
        <w:spacing w:before="240" w:after="0"/>
        <w:jc w:val="left"/>
        <w:rPr>
          <w:rFonts w:ascii="Times New Roman" w:hAnsi="Times New Roman"/>
          <w:sz w:val="20"/>
        </w:rPr>
      </w:pPr>
      <w:r>
        <w:rPr>
          <w:rFonts w:ascii="Times New Roman" w:hAnsi="Times New Roman"/>
          <w:sz w:val="20"/>
        </w:rPr>
        <w:t xml:space="preserve">ITG, Inc. </w:t>
      </w:r>
    </w:p>
    <w:p>
      <w:pPr>
        <w:pStyle w:val="TextBody"/>
        <w:bidi w:val="0"/>
        <w:spacing w:before="0" w:after="0"/>
        <w:jc w:val="left"/>
        <w:rPr>
          <w:rFonts w:ascii="Times New Roman" w:hAnsi="Times New Roman"/>
          <w:sz w:val="20"/>
        </w:rPr>
      </w:pPr>
      <w:r>
        <w:rPr>
          <w:rFonts w:ascii="Times New Roman" w:hAnsi="Times New Roman"/>
          <w:sz w:val="20"/>
        </w:rPr>
        <w:t xml:space="preserve">2400 E Commercial Blvd Ste 1000 </w:t>
      </w:r>
    </w:p>
    <w:p>
      <w:pPr>
        <w:pStyle w:val="TextBody"/>
        <w:bidi w:val="0"/>
        <w:spacing w:before="0" w:after="0"/>
        <w:jc w:val="left"/>
        <w:rPr>
          <w:rFonts w:ascii="Times New Roman" w:hAnsi="Times New Roman"/>
          <w:sz w:val="20"/>
        </w:rPr>
      </w:pPr>
      <w:r>
        <w:rPr>
          <w:rFonts w:ascii="Times New Roman" w:hAnsi="Times New Roman"/>
          <w:sz w:val="20"/>
        </w:rPr>
        <w:t xml:space="preserve">Fort Lauderdale, FL 33308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are acting as special counsel to ITG, Inc., a Delaware corporation (the “Company”), in connection with the filing by the Company of a Registration Statement on Form S-8 (the “Registration Statement”) under the Securities Act of 1933, as amended (the “Act”), with the Securities and Exchange Commission (the “Commission”) covering the offering of up to 15,500,000 shares of Class A common stock, par value $0.001 per share, of the Company (the “Plan Shares”) pursuant to the ITG, Inc. Omnibus Incentive Plan (the “Plan”). </w:t>
      </w:r>
    </w:p>
    <w:p>
      <w:pPr>
        <w:pStyle w:val="TextBody"/>
        <w:bidi w:val="0"/>
        <w:spacing w:before="240" w:after="0"/>
        <w:jc w:val="left"/>
        <w:rPr>
          <w:rFonts w:ascii="Times New Roman" w:hAnsi="Times New Roman"/>
          <w:sz w:val="20"/>
        </w:rPr>
      </w:pPr>
      <w:r>
        <w:rPr>
          <w:rFonts w:ascii="Times New Roman" w:hAnsi="Times New Roman"/>
          <w:sz w:val="20"/>
        </w:rPr>
        <w:t xml:space="preserve">In reaching the opinions set forth in this letter, we have examined such documents, records, certificates, resolutions and other instruments deemed necessary as a basis for this opinion, including (i) the organizational documents of the Company, including the Company’s amended and restated certificate of incorporation (the “Amended and Restated Certificate of Incorporation”), (ii) minutes and records of the corporate proceedings of the Company, including certain resolutions adopted by the board of directors of the Company, (iii) the Plan and (iv) the Registration Statement and the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letter, we have assumed (i) the authenticity of all documents submitted to us as originals, (ii) the conformity to the originals of all documents submitted to us as copies and the authenticity of the originals of all documents submitted to us as copies, (iii) the legal capacity of all natural persons, (iv) the genuineness of all signatures, (v) the authority of all persons signing all documents submitted to us on behalf of the parties thereto, (vi) that all information contained in all documents reviewed by us is true, correct and complete, and (vii) that the Plan Shares will be issued in accordance with the terms of the Plan. We have not independently established or verified any facts relevant to our opinions expressed herein but have relied upon statements and representations of officers or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qualifications, assumptions and limitations and the further limitations set forth herein and having due regard for the legal considerations we deem relevant, we advise you that the Plan Shares are duly authorized and when (i) the Registration Statement becomes effective under the Act, and (ii) the Plan Shares have been duly issued pursuant to and in accordance with the terms and conditions of the Plan and the Amended and Restated Certificate of Incorporation, the Plan Shares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opinions expressed above are subject to the qualifications that we express no opinion as to the applicability of, compliance with, or effect of any laws except the General Corporation Law of the State of Delaware.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531620" cy="1346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5"/>
                    <a:stretch>
                      <a:fillRect/>
                    </a:stretch>
                  </pic:blipFill>
                  <pic:spPr bwMode="auto">
                    <a:xfrm>
                      <a:off x="0" y="0"/>
                      <a:ext cx="1531620" cy="13462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Securities and Exchange Commission </w:t>
      </w:r>
    </w:p>
    <w:p>
      <w:pPr>
        <w:pStyle w:val="TextBody"/>
        <w:bidi w:val="0"/>
        <w:spacing w:before="0" w:after="0"/>
        <w:jc w:val="left"/>
        <w:rPr>
          <w:rFonts w:ascii="Times New Roman" w:hAnsi="Times New Roman"/>
          <w:sz w:val="20"/>
        </w:rPr>
      </w:pPr>
      <w:r>
        <w:rPr>
          <w:rFonts w:ascii="Times New Roman" w:hAnsi="Times New Roman"/>
          <w:sz w:val="20"/>
        </w:rPr>
        <w:t xml:space="preserve">July 2,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have relied without independent investigation upon, among other things, an assurance from the Company that the number of shares which the Company is authorized to issue in the Amended and Restated Certificate of Incorporation exceeds the number of shares outstanding and the number of shares which the Company is obligated to issue (or had otherwise reserved for issuance) for any purposes other than issuances of the Plan Shares by at least the number of Plan Shares and we have assumed that such condition will remain true at all future times relevant to this opinion.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with the Commission as Exhibit 5.1 to the Registration Statement. In giving this consent, we do not thereby admit that we are in the category of persons whose consent is required under Section 7 of the Act or the rules and regulations of the Commission. </w:t>
      </w:r>
    </w:p>
    <w:p>
      <w:pPr>
        <w:pStyle w:val="TextBody"/>
        <w:bidi w:val="0"/>
        <w:spacing w:before="240" w:after="0"/>
        <w:jc w:val="left"/>
        <w:rPr>
          <w:rFonts w:ascii="Times New Roman" w:hAnsi="Times New Roman"/>
          <w:sz w:val="20"/>
        </w:rPr>
      </w:pPr>
      <w:r>
        <w:rPr>
          <w:rFonts w:ascii="Times New Roman" w:hAnsi="Times New Roman"/>
          <w:sz w:val="20"/>
        </w:rPr>
        <w:t xml:space="preserve">We do not find it necessary for the purposes of this opinion, and accordingly we do not purport to cover herein, the application of the securities or “Blue Sky” laws of the various states to the issuance and sale of the Plan Shares.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specific issues addressed herein, and no opinion may be inferred or implied beyond that expressly stated herein. We assume no obligation to revise or supplement this opinion should the General Corporation Law of the State of Delaware be changed by legislative action, judicial decision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in accordance with the requirements of Item 601(b)(5) of Regulation S-K under the Act, and is not to be used, circulated, quoted or otherwise relied upon for any other purposes.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Kirkland &amp; Ellis LLP</w:t>
            </w:r>
          </w:p>
        </w:tc>
      </w:tr>
      <w:tr>
        <w:trPr/>
        <w:tc>
          <w:tcPr>
            <w:tcW w:w="4082" w:type="dxa"/>
            <w:tcBorders/>
          </w:tcPr>
          <w:p>
            <w:pPr>
              <w:pStyle w:val="TableContents"/>
              <w:bidi w:val="0"/>
              <w:spacing w:before="0" w:after="283"/>
              <w:jc w:val="left"/>
              <w:rPr/>
            </w:pPr>
            <w:r>
              <w:rPr/>
              <w:t>KIRKLAND &amp; ELLIS LLP</w:t>
            </w:r>
          </w:p>
        </w:tc>
      </w:tr>
    </w:tbl>
    <w:p>
      <w:pPr>
        <w:pStyle w:val="TextBody"/>
        <w:bidi w:val="0"/>
        <w:spacing w:before="0" w:after="0"/>
        <w:jc w:val="right"/>
        <w:rPr>
          <w:rFonts w:ascii="Times New Roman" w:hAnsi="Times New Roman"/>
          <w:b/>
          <w:sz w:val="20"/>
        </w:rPr>
      </w:pPr>
      <w:bookmarkStart w:id="11" w:name="d63178dex231.htm"/>
      <w:bookmarkStart w:id="12" w:name="ksd63178dex231"/>
      <w:bookmarkEnd w:id="11"/>
      <w:bookmarkEnd w:id="1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 dated February 13, 2026, with respect to the financial statement of ITG, Inc. contained in the Final Prospectus, filed on July 1, 2026, relating to the Registration Statement on Form S-1 (File No. 333-296557), which is incorporated by reference in this Registration Statement on Form S-8. We consent to the incorporation by reference of the aforementioned report in this Registration Statement on Form S-8. </w:t>
      </w:r>
    </w:p>
    <w:p>
      <w:pPr>
        <w:pStyle w:val="TextBody"/>
        <w:bidi w:val="0"/>
        <w:spacing w:before="0" w:after="0"/>
        <w:jc w:val="left"/>
        <w:rPr/>
      </w:pPr>
      <w:r>
        <w:rPr/>
        <w:t> </w:t>
      </w:r>
    </w:p>
    <w:p>
      <w:pPr>
        <w:pStyle w:val="TextBody"/>
        <w:bidi w:val="0"/>
        <w:spacing w:before="0" w:after="0"/>
        <w:jc w:val="left"/>
        <w:rPr/>
      </w:pPr>
      <w:r>
        <w:rPr/>
        <w:drawing>
          <wp:inline distT="0" distB="0" distL="0" distR="0">
            <wp:extent cx="1826895" cy="3003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826895" cy="3003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Charlotte, North Carolina </w:t>
      </w:r>
    </w:p>
    <w:p>
      <w:pPr>
        <w:pStyle w:val="TextBody"/>
        <w:bidi w:val="0"/>
        <w:spacing w:before="0" w:after="0"/>
        <w:jc w:val="left"/>
        <w:rPr>
          <w:rFonts w:ascii="Times New Roman" w:hAnsi="Times New Roman"/>
          <w:sz w:val="20"/>
        </w:rPr>
      </w:pPr>
      <w:r>
        <w:rPr>
          <w:rFonts w:ascii="Times New Roman" w:hAnsi="Times New Roman"/>
          <w:sz w:val="20"/>
        </w:rPr>
        <w:t xml:space="preserve">July 2, 2026 </w:t>
      </w:r>
    </w:p>
    <w:p>
      <w:pPr>
        <w:pStyle w:val="TextBody"/>
        <w:bidi w:val="0"/>
        <w:spacing w:before="0" w:after="0"/>
        <w:jc w:val="right"/>
        <w:rPr>
          <w:rFonts w:ascii="Times New Roman" w:hAnsi="Times New Roman"/>
          <w:b/>
          <w:sz w:val="20"/>
        </w:rPr>
      </w:pPr>
      <w:bookmarkStart w:id="13" w:name="d63178dex232.htm"/>
      <w:bookmarkStart w:id="14" w:name="ksd63178dex232"/>
      <w:bookmarkEnd w:id="13"/>
      <w:bookmarkEnd w:id="14"/>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 dated April 24, 2026, with respect to the consolidated financial statements of ITG Parent, LLC contained in the Final Prospectus, filed on July 1, 2026, relating to the Registration Statement on Form S-1 (File No. 333-296557), which is incorporated by reference in this Registration Statement on Form S-8. We consent to the incorporation by reference of the aforementioned report in this Registration Statement on Form S-8. </w:t>
      </w:r>
    </w:p>
    <w:p>
      <w:pPr>
        <w:pStyle w:val="TextBody"/>
        <w:bidi w:val="0"/>
        <w:spacing w:before="0" w:after="0"/>
        <w:jc w:val="left"/>
        <w:rPr/>
      </w:pPr>
      <w:r>
        <w:rPr/>
        <w:t> </w:t>
      </w:r>
    </w:p>
    <w:p>
      <w:pPr>
        <w:pStyle w:val="TextBody"/>
        <w:bidi w:val="0"/>
        <w:spacing w:before="0" w:after="0"/>
        <w:jc w:val="left"/>
        <w:rPr/>
      </w:pPr>
      <w:r>
        <w:rPr/>
        <w:drawing>
          <wp:inline distT="0" distB="0" distL="0" distR="0">
            <wp:extent cx="1826895" cy="3003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826895" cy="300355"/>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Charlotte, North Carolina </w:t>
      </w:r>
    </w:p>
    <w:p>
      <w:pPr>
        <w:pStyle w:val="TextBody"/>
        <w:bidi w:val="0"/>
        <w:spacing w:before="0" w:after="0"/>
        <w:jc w:val="left"/>
        <w:rPr>
          <w:rFonts w:ascii="Times New Roman" w:hAnsi="Times New Roman"/>
          <w:sz w:val="20"/>
        </w:rPr>
      </w:pPr>
      <w:r>
        <w:rPr>
          <w:rFonts w:ascii="Times New Roman" w:hAnsi="Times New Roman"/>
          <w:sz w:val="20"/>
        </w:rPr>
        <w:t xml:space="preserve">July 2, 2026 </w:t>
      </w:r>
    </w:p>
    <w:p>
      <w:pPr>
        <w:pStyle w:val="TextBody"/>
        <w:bidi w:val="0"/>
        <w:spacing w:before="0" w:after="0"/>
        <w:jc w:val="right"/>
        <w:rPr>
          <w:rFonts w:ascii="Times New Roman" w:hAnsi="Times New Roman"/>
          <w:b/>
          <w:sz w:val="20"/>
        </w:rPr>
      </w:pPr>
      <w:bookmarkStart w:id="15" w:name="d63178dex233.htm"/>
      <w:bookmarkStart w:id="16" w:name="ksd63178dex233"/>
      <w:bookmarkEnd w:id="15"/>
      <w:bookmarkEnd w:id="16"/>
      <w:r>
        <w:rPr>
          <w:rFonts w:ascii="Times New Roman" w:hAnsi="Times New Roman"/>
          <w:b/>
          <w:sz w:val="20"/>
        </w:rPr>
        <w:t xml:space="preserve">Exhibit 23.3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ITG, Inc. of our report dated February 13, 2026 relating to the consolidated financial statements of ITG Parent, LLC, appearing in the Prospectus, which is part of the Registration Statement on Form S-1, as amended (File No. 333-296557) declared effective on June 30, 2026. </w:t>
      </w:r>
    </w:p>
    <w:p>
      <w:pPr>
        <w:pStyle w:val="TextBody"/>
        <w:bidi w:val="0"/>
        <w:spacing w:before="240" w:after="0"/>
        <w:jc w:val="left"/>
        <w:rPr>
          <w:rFonts w:ascii="Times New Roman" w:hAnsi="Times New Roman"/>
          <w:sz w:val="20"/>
        </w:rPr>
      </w:pPr>
      <w:r>
        <w:rPr>
          <w:rFonts w:ascii="Times New Roman" w:hAnsi="Times New Roman"/>
          <w:sz w:val="20"/>
        </w:rPr>
        <w:t xml:space="preserve">RSM US LLP </w:t>
      </w:r>
    </w:p>
    <w:p>
      <w:pPr>
        <w:pStyle w:val="TextBody"/>
        <w:bidi w:val="0"/>
        <w:spacing w:before="240" w:after="0"/>
        <w:jc w:val="left"/>
        <w:rPr>
          <w:rFonts w:ascii="Times New Roman" w:hAnsi="Times New Roman"/>
          <w:sz w:val="20"/>
        </w:rPr>
      </w:pPr>
      <w:r>
        <w:rPr>
          <w:rFonts w:ascii="Times New Roman" w:hAnsi="Times New Roman"/>
          <w:sz w:val="20"/>
        </w:rPr>
        <w:t xml:space="preserve">Coral Gables, Florida </w:t>
      </w:r>
    </w:p>
    <w:p>
      <w:pPr>
        <w:pStyle w:val="TextBody"/>
        <w:bidi w:val="0"/>
        <w:spacing w:before="0" w:after="0"/>
        <w:jc w:val="left"/>
        <w:rPr>
          <w:rFonts w:ascii="Times New Roman" w:hAnsi="Times New Roman"/>
          <w:sz w:val="20"/>
        </w:rPr>
      </w:pPr>
      <w:r>
        <w:rPr>
          <w:rFonts w:ascii="Times New Roman" w:hAnsi="Times New Roman"/>
          <w:sz w:val="20"/>
        </w:rPr>
        <w:t xml:space="preserve">July 2, 2026 </w:t>
      </w:r>
    </w:p>
    <w:p>
      <w:pPr>
        <w:pStyle w:val="TextBody"/>
        <w:bidi w:val="0"/>
        <w:spacing w:before="0" w:after="0"/>
        <w:jc w:val="right"/>
        <w:rPr>
          <w:rFonts w:ascii="Times New Roman" w:hAnsi="Times New Roman"/>
          <w:b/>
          <w:sz w:val="20"/>
        </w:rPr>
      </w:pPr>
      <w:bookmarkStart w:id="17" w:name="d63178dex235.htm"/>
      <w:bookmarkStart w:id="18" w:name="ksd63178dex235"/>
      <w:bookmarkEnd w:id="17"/>
      <w:bookmarkEnd w:id="18"/>
      <w:r>
        <w:rPr>
          <w:rFonts w:ascii="Times New Roman" w:hAnsi="Times New Roman"/>
          <w:b/>
          <w:sz w:val="20"/>
        </w:rPr>
        <w:t xml:space="preserve">Exhibit 23.5 </w:t>
      </w:r>
      <w:r>
        <w:br w:type="page"/>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Consent of Altman Solon US, LP </w:t>
      </w:r>
    </w:p>
    <w:p>
      <w:pPr>
        <w:pStyle w:val="TextBody"/>
        <w:bidi w:val="0"/>
        <w:spacing w:before="240" w:after="0"/>
        <w:jc w:val="left"/>
        <w:rPr>
          <w:rFonts w:ascii="Times New Roman" w:hAnsi="Times New Roman"/>
          <w:sz w:val="20"/>
        </w:rPr>
      </w:pPr>
      <w:r>
        <w:rPr>
          <w:rFonts w:ascii="Times New Roman" w:hAnsi="Times New Roman"/>
          <w:sz w:val="20"/>
        </w:rPr>
        <w:t xml:space="preserve">Altman Solon US, LP (“Altman Solon”) hereby consents to the incorporation by reference by ITG, Inc. (“ITG”) in its Registration Statement on Form S-8 and any drafts thereof or amendments or supplements thereto submitted to or filed with the U.S. Securities and Exchange Commission (the “Registration Statement”) of (i) our name and all references thereto, (ii) references to our preparation of a report for ITG regarding its market opportunity, and (iii) the statements set out in Schedule I hereto, in each case, from the Registration Statement on Form S-1 filed by ITG, Inc. with the U.S. Securities and Exchange Commission on June 5, 2026, as amended. </w:t>
      </w:r>
    </w:p>
    <w:p>
      <w:pPr>
        <w:pStyle w:val="TextBody"/>
        <w:bidi w:val="0"/>
        <w:spacing w:before="240" w:after="0"/>
        <w:jc w:val="left"/>
        <w:rPr>
          <w:rFonts w:ascii="Times New Roman" w:hAnsi="Times New Roman"/>
          <w:sz w:val="20"/>
        </w:rPr>
      </w:pPr>
      <w:r>
        <w:rPr>
          <w:rFonts w:ascii="Times New Roman" w:hAnsi="Times New Roman"/>
          <w:sz w:val="20"/>
        </w:rPr>
        <w:t xml:space="preserve">Altman Solon hereby further consents to the filing of this consent as an exhibit to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ALTMAN SOLON US, LP </w:t>
      </w:r>
    </w:p>
    <w:p>
      <w:pPr>
        <w:pStyle w:val="TextBody"/>
        <w:bidi w:val="0"/>
        <w:spacing w:before="240" w:after="0"/>
        <w:jc w:val="left"/>
        <w:rPr>
          <w:rFonts w:ascii="Times New Roman" w:hAnsi="Times New Roman"/>
          <w:sz w:val="20"/>
        </w:rPr>
      </w:pPr>
      <w:r>
        <w:rPr>
          <w:rFonts w:ascii="Times New Roman" w:hAnsi="Times New Roman"/>
          <w:sz w:val="20"/>
        </w:rPr>
        <w:t xml:space="preserve">By: Altman Solon US GP, LLC, its General Partner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696"/>
        <w:gridCol w:w="60"/>
        <w:gridCol w:w="3326"/>
      </w:tblGrid>
      <w:tr>
        <w:trPr/>
        <w:tc>
          <w:tcPr>
            <w:tcW w:w="6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26" w:type="dxa"/>
            <w:tcBorders/>
            <w:vAlign w:val="center"/>
          </w:tcPr>
          <w:p>
            <w:pPr>
              <w:pStyle w:val="TableContents"/>
              <w:bidi w:val="0"/>
              <w:spacing w:before="0" w:after="283"/>
              <w:jc w:val="left"/>
              <w:rPr>
                <w:sz w:val="4"/>
                <w:szCs w:val="4"/>
              </w:rPr>
            </w:pPr>
            <w:r>
              <w:rPr>
                <w:sz w:val="4"/>
                <w:szCs w:val="4"/>
              </w:rPr>
            </w:r>
          </w:p>
        </w:tc>
      </w:tr>
      <w:tr>
        <w:trPr/>
        <w:tc>
          <w:tcPr>
            <w:tcW w:w="69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Rory J. Altman</w:t>
            </w:r>
          </w:p>
        </w:tc>
      </w:tr>
      <w:tr>
        <w:trPr/>
        <w:tc>
          <w:tcPr>
            <w:tcW w:w="69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Rory J. Altman</w:t>
            </w:r>
          </w:p>
        </w:tc>
      </w:tr>
      <w:tr>
        <w:trPr/>
        <w:tc>
          <w:tcPr>
            <w:tcW w:w="69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26" w:type="dxa"/>
            <w:tcBorders/>
          </w:tcPr>
          <w:p>
            <w:pPr>
              <w:pStyle w:val="TableContents"/>
              <w:bidi w:val="0"/>
              <w:spacing w:before="0" w:after="283"/>
              <w:jc w:val="left"/>
              <w:rPr/>
            </w:pPr>
            <w:r>
              <w:rPr/>
              <w:t>Managing Partner</w:t>
            </w:r>
          </w:p>
        </w:tc>
      </w:tr>
    </w:tbl>
    <w:p>
      <w:pPr>
        <w:pStyle w:val="TextBody"/>
        <w:bidi w:val="0"/>
        <w:spacing w:before="240" w:after="0"/>
        <w:jc w:val="left"/>
        <w:rPr>
          <w:rFonts w:ascii="Times New Roman" w:hAnsi="Times New Roman"/>
          <w:sz w:val="20"/>
        </w:rPr>
      </w:pPr>
      <w:r>
        <w:rPr>
          <w:rFonts w:ascii="Times New Roman" w:hAnsi="Times New Roman"/>
          <w:sz w:val="20"/>
        </w:rPr>
        <w:t xml:space="preserve">July 2,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left"/>
        <w:rPr>
          <w:rFonts w:ascii="Times New Roman" w:hAnsi="Times New Roman"/>
          <w:sz w:val="20"/>
        </w:rPr>
      </w:pPr>
      <w:r>
        <w:rPr>
          <w:rFonts w:ascii="Times New Roman" w:hAnsi="Times New Roman"/>
          <w:sz w:val="20"/>
        </w:rPr>
        <w:t xml:space="preserve">1. This prospectus also contains data and estimates derived from a March 2026 industry report commissioned by us and prepared by Altman Solon US, LP, a third-party strategy consulting firm (the “Altman Solon Report”). The Altman Solon Report does not constitute financial, legal or investment advice. </w:t>
      </w:r>
    </w:p>
    <w:p>
      <w:pPr>
        <w:pStyle w:val="TextBody"/>
        <w:bidi w:val="0"/>
        <w:spacing w:before="120" w:after="0"/>
        <w:jc w:val="left"/>
        <w:rPr>
          <w:rFonts w:ascii="Times New Roman" w:hAnsi="Times New Roman"/>
          <w:sz w:val="20"/>
        </w:rPr>
      </w:pPr>
      <w:r>
        <w:rPr>
          <w:rFonts w:ascii="Times New Roman" w:hAnsi="Times New Roman"/>
          <w:sz w:val="20"/>
        </w:rPr>
        <w:t xml:space="preserve">2. Annual investment in the United States in outsourced engineering and construction services for digital and other utility infrastructure increased from approximately $14.8 billion in 2022 to approximately $26.9 billion in 2025, and is forecasted to grow to approximately $33.2 billion in 2029, according to the Altman Solon Report. </w:t>
      </w:r>
    </w:p>
    <w:p>
      <w:pPr>
        <w:pStyle w:val="TextBody"/>
        <w:bidi w:val="0"/>
        <w:spacing w:before="120" w:after="0"/>
        <w:jc w:val="left"/>
        <w:rPr>
          <w:rFonts w:ascii="Times New Roman" w:hAnsi="Times New Roman"/>
          <w:sz w:val="20"/>
        </w:rPr>
      </w:pPr>
      <w:r>
        <w:rPr>
          <w:rFonts w:ascii="Times New Roman" w:hAnsi="Times New Roman"/>
          <w:sz w:val="20"/>
        </w:rPr>
        <w:t xml:space="preserve">3. According to the Altman Solon Report, fiber passings in the United States are expected to increase from approximately 100 million in 2025 to approximately 150 million by 2029, with an estimated 10-12 million new passings annually. </w:t>
      </w:r>
    </w:p>
    <w:p>
      <w:pPr>
        <w:pStyle w:val="TextBody"/>
        <w:bidi w:val="0"/>
        <w:spacing w:before="120" w:after="0"/>
        <w:jc w:val="left"/>
        <w:rPr>
          <w:rFonts w:ascii="Times New Roman" w:hAnsi="Times New Roman"/>
          <w:sz w:val="20"/>
        </w:rPr>
      </w:pPr>
      <w:r>
        <w:rPr>
          <w:rFonts w:ascii="Times New Roman" w:hAnsi="Times New Roman"/>
          <w:sz w:val="20"/>
        </w:rPr>
        <w:t xml:space="preserve">4. According to the Altman Solon Report, the market for wireless infrastructure engineering and maintenance services in 2025 is estimated to be approximately $5.0 billion. </w:t>
      </w:r>
    </w:p>
    <w:p>
      <w:pPr>
        <w:pStyle w:val="TextBody"/>
        <w:bidi w:val="0"/>
        <w:spacing w:before="120" w:after="0"/>
        <w:jc w:val="left"/>
        <w:rPr>
          <w:rFonts w:ascii="Times New Roman" w:hAnsi="Times New Roman"/>
          <w:sz w:val="20"/>
        </w:rPr>
      </w:pPr>
      <w:r>
        <w:rPr>
          <w:rFonts w:ascii="Times New Roman" w:hAnsi="Times New Roman"/>
          <w:sz w:val="20"/>
        </w:rPr>
        <w:t xml:space="preserve">5. According to the Altman Solon Report, annual investment in data center wireline infrastructure is forecasted to grow from approximately $4.7 billion in 2025 to approximately $6.8 billion in 2029. </w:t>
      </w:r>
    </w:p>
    <w:p>
      <w:pPr>
        <w:pStyle w:val="TextBody"/>
        <w:bidi w:val="0"/>
        <w:spacing w:before="120" w:after="0"/>
        <w:jc w:val="left"/>
        <w:rPr>
          <w:rFonts w:ascii="Times New Roman" w:hAnsi="Times New Roman"/>
          <w:sz w:val="20"/>
        </w:rPr>
      </w:pPr>
      <w:r>
        <w:rPr>
          <w:rFonts w:ascii="Times New Roman" w:hAnsi="Times New Roman"/>
          <w:sz w:val="20"/>
        </w:rPr>
        <w:t xml:space="preserve">6. According to the Altman Solon Report, these adjacencies include in 2025 approximately $4.0 billion of water and gas utility infrastructure services and approximately $14.0 billion of electric utility distribution contracting. </w:t>
      </w:r>
    </w:p>
    <w:p>
      <w:pPr>
        <w:pStyle w:val="Normal"/>
        <w:bidi w:val="0"/>
        <w:spacing w:before="0" w:after="0"/>
        <w:jc w:val="left"/>
        <w:rPr>
          <w:sz w:val="4"/>
          <w:szCs w:val="4"/>
        </w:rPr>
      </w:pPr>
      <w:r>
        <w:rPr>
          <w:sz w:val="4"/>
          <w:szCs w:val="4"/>
        </w:rPr>
      </w:r>
      <w:bookmarkStart w:id="19" w:name="d63178dexfilingfees.htm"/>
      <w:bookmarkStart w:id="20" w:name="ksd63178dexfilingfees"/>
      <w:bookmarkStart w:id="21" w:name="d63178dexfilingfees.htm"/>
      <w:bookmarkStart w:id="22" w:name="ksd63178dexfilingfees"/>
      <w:bookmarkEnd w:id="21"/>
      <w:bookmarkEnd w:id="22"/>
      <w:r>
        <w:br w:type="page"/>
      </w:r>
    </w:p>
    <w:tbl>
      <w:tblPr>
        <w:tblW w:w="3555" w:type="dxa"/>
        <w:jc w:val="left"/>
        <w:tblInd w:w="0" w:type="dxa"/>
        <w:tblLayout w:type="fixed"/>
        <w:tblCellMar>
          <w:top w:w="28" w:type="dxa"/>
          <w:left w:w="28" w:type="dxa"/>
          <w:bottom w:w="28" w:type="dxa"/>
          <w:right w:w="28" w:type="dxa"/>
        </w:tblCellMar>
      </w:tblPr>
      <w:tblGrid>
        <w:gridCol w:w="3401"/>
        <w:gridCol w:w="154"/>
      </w:tblGrid>
      <w:tr>
        <w:trPr/>
        <w:tc>
          <w:tcPr>
            <w:tcW w:w="35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1" w:type="dxa"/>
            <w:tcBorders/>
            <w:vAlign w:val="center"/>
          </w:tcPr>
          <w:p>
            <w:pPr>
              <w:pStyle w:val="TableContents"/>
              <w:bidi w:val="0"/>
              <w:spacing w:before="0" w:after="283"/>
              <w:jc w:val="left"/>
              <w:rPr>
                <w:b/>
              </w:rPr>
            </w:pPr>
            <w:r>
              <w:rPr>
                <w:b/>
              </w:rPr>
              <w:t xml:space="preserve">ITG, Inc./DE/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2"/>
        <w:gridCol w:w="988"/>
        <w:gridCol w:w="1286"/>
        <w:gridCol w:w="1196"/>
        <w:gridCol w:w="1192"/>
        <w:gridCol w:w="1807"/>
        <w:gridCol w:w="1126"/>
        <w:gridCol w:w="1417"/>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8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9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7"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2" w:type="dxa"/>
            <w:tcBorders/>
            <w:shd w:fill="E7E7E2" w:val="clear"/>
            <w:vAlign w:val="center"/>
          </w:tcPr>
          <w:p>
            <w:pPr>
              <w:pStyle w:val="TableContents"/>
              <w:bidi w:val="0"/>
              <w:spacing w:before="0" w:after="283"/>
              <w:jc w:val="left"/>
              <w:rPr/>
            </w:pPr>
            <w:r>
              <w:rPr/>
              <w:t xml:space="preserve">Equity </w:t>
            </w:r>
          </w:p>
        </w:tc>
        <w:tc>
          <w:tcPr>
            <w:tcW w:w="988" w:type="dxa"/>
            <w:tcBorders/>
            <w:shd w:fill="E7E7E2" w:val="clear"/>
            <w:vAlign w:val="center"/>
          </w:tcPr>
          <w:p>
            <w:pPr>
              <w:pStyle w:val="TableContents"/>
              <w:bidi w:val="0"/>
              <w:spacing w:before="0" w:after="283"/>
              <w:jc w:val="left"/>
              <w:rPr/>
            </w:pPr>
            <w:r>
              <w:rPr/>
              <w:t xml:space="preserve">Class A common stock, par value $0.001 per share </w:t>
            </w:r>
          </w:p>
        </w:tc>
        <w:tc>
          <w:tcPr>
            <w:tcW w:w="1286" w:type="dxa"/>
            <w:tcBorders/>
            <w:shd w:fill="E7E7E2" w:val="clear"/>
            <w:vAlign w:val="center"/>
          </w:tcPr>
          <w:p>
            <w:pPr>
              <w:pStyle w:val="TableContents"/>
              <w:bidi w:val="0"/>
              <w:spacing w:before="0" w:after="283"/>
              <w:jc w:val="center"/>
              <w:rPr/>
            </w:pPr>
            <w:r>
              <w:rPr/>
              <w:t xml:space="preserve">Other </w:t>
            </w:r>
          </w:p>
        </w:tc>
        <w:tc>
          <w:tcPr>
            <w:tcW w:w="1196" w:type="dxa"/>
            <w:tcBorders/>
            <w:shd w:fill="E7E7E2" w:val="clear"/>
            <w:vAlign w:val="center"/>
          </w:tcPr>
          <w:p>
            <w:pPr>
              <w:pStyle w:val="TableContents"/>
              <w:bidi w:val="0"/>
              <w:spacing w:before="0" w:after="283"/>
              <w:jc w:val="right"/>
              <w:rPr/>
            </w:pPr>
            <w:r>
              <w:rPr/>
              <w:t xml:space="preserve">15,500,000 </w:t>
            </w:r>
          </w:p>
        </w:tc>
        <w:tc>
          <w:tcPr>
            <w:tcW w:w="1192" w:type="dxa"/>
            <w:tcBorders/>
            <w:shd w:fill="E7E7E2" w:val="clear"/>
            <w:vAlign w:val="center"/>
          </w:tcPr>
          <w:p>
            <w:pPr>
              <w:pStyle w:val="TableContents"/>
              <w:bidi w:val="0"/>
              <w:spacing w:before="0" w:after="283"/>
              <w:jc w:val="right"/>
              <w:rPr/>
            </w:pPr>
            <w:r>
              <w:rPr/>
              <w:t xml:space="preserve">$ 16.03 </w:t>
            </w:r>
          </w:p>
        </w:tc>
        <w:tc>
          <w:tcPr>
            <w:tcW w:w="1807" w:type="dxa"/>
            <w:tcBorders/>
            <w:shd w:fill="E7E7E2" w:val="clear"/>
            <w:vAlign w:val="center"/>
          </w:tcPr>
          <w:p>
            <w:pPr>
              <w:pStyle w:val="TableContents"/>
              <w:bidi w:val="0"/>
              <w:spacing w:before="0" w:after="283"/>
              <w:jc w:val="right"/>
              <w:rPr/>
            </w:pPr>
            <w:r>
              <w:rPr/>
              <w:t xml:space="preserve">$ 248,465,000.00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7" w:type="dxa"/>
            <w:tcBorders/>
            <w:shd w:fill="E7E7E2" w:val="clear"/>
            <w:vAlign w:val="center"/>
          </w:tcPr>
          <w:p>
            <w:pPr>
              <w:pStyle w:val="TableContents"/>
              <w:bidi w:val="0"/>
              <w:spacing w:before="0" w:after="283"/>
              <w:jc w:val="right"/>
              <w:rPr/>
            </w:pPr>
            <w:r>
              <w:rPr/>
              <w:t xml:space="preserve">$ 34,313.02 </w:t>
            </w:r>
          </w:p>
        </w:tc>
      </w:tr>
      <w:tr>
        <w:trPr/>
        <w:tc>
          <w:tcPr>
            <w:tcW w:w="4663" w:type="dxa"/>
            <w:gridSpan w:val="5"/>
            <w:tcBorders/>
            <w:vAlign w:val="center"/>
          </w:tcPr>
          <w:p>
            <w:pPr>
              <w:pStyle w:val="TableContents"/>
              <w:bidi w:val="0"/>
              <w:spacing w:before="0" w:after="0"/>
              <w:ind w:left="0" w:right="0" w:hanging="0"/>
              <w:jc w:val="right"/>
              <w:rPr/>
            </w:pPr>
            <w:r>
              <w:rPr/>
              <w:t>Total Offering Amounts:</w:t>
            </w:r>
          </w:p>
        </w:tc>
        <w:tc>
          <w:tcPr>
            <w:tcW w:w="11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0"/>
              <w:ind w:left="0" w:right="0" w:hanging="0"/>
              <w:jc w:val="right"/>
              <w:rPr/>
            </w:pPr>
            <w:bookmarkStart w:id="23" w:name="MaxAggtOfferingPrice"/>
            <w:bookmarkEnd w:id="23"/>
            <w:r>
              <w:rPr/>
              <w:t xml:space="preserve">$ 248,465,000.00 </w:t>
            </w:r>
          </w:p>
        </w:tc>
        <w:tc>
          <w:tcPr>
            <w:tcW w:w="1126" w:type="dxa"/>
            <w:tcBorders/>
            <w:vAlign w:val="center"/>
          </w:tcPr>
          <w:p>
            <w:pPr>
              <w:pStyle w:val="TableContents"/>
              <w:bidi w:val="0"/>
              <w:spacing w:before="0" w:after="283"/>
              <w:jc w:val="left"/>
              <w:rPr>
                <w:sz w:val="4"/>
                <w:szCs w:val="4"/>
              </w:rPr>
            </w:pPr>
            <w:r>
              <w:rPr>
                <w:sz w:val="4"/>
                <w:szCs w:val="4"/>
              </w:rPr>
            </w:r>
          </w:p>
        </w:tc>
        <w:tc>
          <w:tcPr>
            <w:tcW w:w="141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4" w:name="TotalFeeAmt"/>
            <w:bookmarkEnd w:id="24"/>
            <w:r>
              <w:rPr/>
              <w:t xml:space="preserve">$ 34,313.02 </w:t>
            </w:r>
          </w:p>
        </w:tc>
      </w:tr>
      <w:tr>
        <w:trPr/>
        <w:tc>
          <w:tcPr>
            <w:tcW w:w="4663" w:type="dxa"/>
            <w:gridSpan w:val="5"/>
            <w:tcBorders/>
            <w:vAlign w:val="center"/>
          </w:tcPr>
          <w:p>
            <w:pPr>
              <w:pStyle w:val="TableContents"/>
              <w:bidi w:val="0"/>
              <w:spacing w:before="0" w:after="0"/>
              <w:ind w:left="0" w:right="0" w:hanging="0"/>
              <w:jc w:val="right"/>
              <w:rPr/>
            </w:pPr>
            <w:r>
              <w:rPr/>
              <w:t xml:space="preserve">Total Fee Offsets: </w:t>
            </w:r>
          </w:p>
        </w:tc>
        <w:tc>
          <w:tcPr>
            <w:tcW w:w="11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0"/>
              <w:ind w:left="0" w:right="0" w:hanging="0"/>
              <w:jc w:val="right"/>
              <w:rPr/>
            </w:pPr>
            <w:bookmarkStart w:id="25" w:name="TotalOffsetAmt"/>
            <w:bookmarkEnd w:id="25"/>
            <w:r>
              <w:rPr/>
              <w:t xml:space="preserve">$ 0.00 </w:t>
            </w:r>
          </w:p>
        </w:tc>
      </w:tr>
      <w:tr>
        <w:trPr/>
        <w:tc>
          <w:tcPr>
            <w:tcW w:w="4663" w:type="dxa"/>
            <w:gridSpan w:val="5"/>
            <w:tcBorders/>
            <w:vAlign w:val="center"/>
          </w:tcPr>
          <w:p>
            <w:pPr>
              <w:pStyle w:val="TableContents"/>
              <w:bidi w:val="0"/>
              <w:spacing w:before="0" w:after="0"/>
              <w:ind w:left="0" w:right="0" w:hanging="0"/>
              <w:jc w:val="right"/>
              <w:rPr/>
            </w:pPr>
            <w:r>
              <w:rPr/>
              <w:t xml:space="preserve">Net Fee Due: </w:t>
            </w:r>
          </w:p>
        </w:tc>
        <w:tc>
          <w:tcPr>
            <w:tcW w:w="1192"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0"/>
              <w:ind w:left="0" w:right="0" w:hanging="0"/>
              <w:jc w:val="right"/>
              <w:rPr/>
            </w:pPr>
            <w:bookmarkStart w:id="26" w:name="NetFeeAmt"/>
            <w:bookmarkEnd w:id="26"/>
            <w:r>
              <w:rPr/>
              <w:t xml:space="preserve">$ 34,313.02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9"/>
        <w:gridCol w:w="1296"/>
        <w:gridCol w:w="8710"/>
      </w:tblGrid>
      <w:tr>
        <w:trPr/>
        <w:tc>
          <w:tcPr>
            <w:tcW w:w="199"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6" w:type="dxa"/>
            <w:gridSpan w:val="2"/>
            <w:tcBorders/>
            <w:vAlign w:val="center"/>
          </w:tcPr>
          <w:p>
            <w:pPr>
              <w:pStyle w:val="TableContents"/>
              <w:bidi w:val="0"/>
              <w:spacing w:before="0" w:after="283"/>
              <w:jc w:val="left"/>
              <w:rPr/>
            </w:pPr>
            <w:r>
              <w:rPr/>
              <w:t xml:space="preserve">(a) Pursuant to Rule 416 under the Securities Act of 1933, as amended (the "Securities Act"), this Registration Statement shall also cover any additional shares of Class A common stock, par value $0.001 per share ("Class A Common Stock") of ITG, Inc. (the "Company") which become issuable under the ITG, Inc. Omnibus Incentive Plan (the "Plan") by reason of any share split, share combination, share dividend, exchange of shares or other recapitalization, merger or any other similar transaction effected without the receipt of consideration which results in an increase in the number of shares of outstanding Class A Common Stock. (b) Includes additional shares of Class A Common Stock reserved for future issuance pursuant to the annual "evergreen increase" and for delivery with respect to awards issued under the Plan, which include shares of Class A Common Stock that may again become available for delivery with respect to awards under the Plan pursuant to share counting, share recycling and other terms and conditions of the Plan. (c) Estimated pursuant to Rules 457(c) and 457(h) under the Securities Act solely for the purpose of calculating the registration fee. Represents the average of the high and low sales prices of the Class A Common Stock as reported on the Nasdaq Stock Market LLC on July 2, 2026 (such date being within 5 business days prior to the date of filing this Registration Statement).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2110117/000119312526292853/d103576d424b4.htm" TargetMode="External"/><Relationship Id="rId3" Type="http://schemas.openxmlformats.org/officeDocument/2006/relationships/hyperlink" Target="http://www.sec.gov/Archives/edgar/data/2110117/000119312526290676/d53145d8a12b.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78</Pages>
  <Words>46241</Words>
  <Characters>236853</Characters>
  <CharactersWithSpaces>283201</CharactersWithSpaces>
  <Paragraphs>979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EX-23.5</dc:title>
</cp:coreProperties>
</file>